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B109F5">
        <w:rPr>
          <w:rFonts w:ascii="Times New Roman" w:hAnsi="Times New Roman" w:cs="Times New Roman"/>
          <w:sz w:val="28"/>
          <w:szCs w:val="28"/>
          <w:u w:val="single"/>
        </w:rPr>
        <w:t xml:space="preserve">от </w:t>
      </w:r>
      <w:r w:rsidR="00B109F5" w:rsidRPr="00B109F5">
        <w:rPr>
          <w:rFonts w:ascii="Times New Roman" w:hAnsi="Times New Roman" w:cs="Times New Roman"/>
          <w:sz w:val="28"/>
          <w:szCs w:val="28"/>
          <w:u w:val="single"/>
        </w:rPr>
        <w:t>25.03.2020</w:t>
      </w:r>
      <w:r w:rsidR="00B109F5">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B109F5">
        <w:rPr>
          <w:rFonts w:ascii="Times New Roman" w:hAnsi="Times New Roman" w:cs="Times New Roman"/>
          <w:sz w:val="28"/>
          <w:szCs w:val="28"/>
        </w:rPr>
        <w:t xml:space="preserve"> </w:t>
      </w:r>
      <w:r w:rsidR="00B109F5" w:rsidRPr="00B109F5">
        <w:rPr>
          <w:rFonts w:ascii="Times New Roman" w:hAnsi="Times New Roman" w:cs="Times New Roman"/>
          <w:sz w:val="28"/>
          <w:szCs w:val="28"/>
          <w:u w:val="single"/>
        </w:rPr>
        <w:t>99</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Pr="00CC527E" w:rsidRDefault="00913060" w:rsidP="00571E65">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на </w:t>
      </w:r>
      <w:r w:rsidR="00571E65" w:rsidRPr="00571E65">
        <w:rPr>
          <w:rFonts w:ascii="Times New Roman" w:hAnsi="Times New Roman" w:cs="Times New Roman"/>
          <w:b/>
          <w:sz w:val="28"/>
          <w:szCs w:val="28"/>
        </w:rPr>
        <w:t>Выполнение работ по оформлению цветочных клумб на территории поселка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571E65" w:rsidRPr="00571E65">
        <w:rPr>
          <w:rFonts w:ascii="Times New Roman" w:hAnsi="Times New Roman" w:cs="Times New Roman"/>
          <w:b/>
          <w:bCs/>
          <w:caps/>
        </w:rPr>
        <w:t>Выполнение работ по оформлению цветочных клумб на территории поселка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4E067E" w:rsidP="005E477B">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Должанский Сергей Иванович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645F48"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571E65" w:rsidP="00CC1880">
            <w:pPr>
              <w:spacing w:after="60" w:line="240" w:lineRule="auto"/>
              <w:rPr>
                <w:rFonts w:ascii="Times New Roman" w:hAnsi="Times New Roman" w:cs="Times New Roman"/>
                <w:b/>
                <w:sz w:val="24"/>
                <w:szCs w:val="24"/>
              </w:rPr>
            </w:pPr>
            <w:r w:rsidRPr="00571E65">
              <w:rPr>
                <w:rFonts w:ascii="Times New Roman" w:eastAsia="Times New Roman" w:hAnsi="Times New Roman" w:cs="Times New Roman"/>
                <w:b/>
                <w:bCs/>
                <w:sz w:val="24"/>
                <w:szCs w:val="24"/>
              </w:rPr>
              <w:t>Выполнение работ по оформлению цветочных клумб на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571E65"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20333210213823321010010016001</w:t>
            </w:r>
            <w:r w:rsidRPr="00571E65">
              <w:rPr>
                <w:rFonts w:ascii="Times New Roman" w:hAnsi="Times New Roman" w:cs="Times New Roman"/>
                <w:sz w:val="24"/>
                <w:szCs w:val="24"/>
              </w:rPr>
              <w:t>8130244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571E65" w:rsidP="00AF47AF">
            <w:pPr>
              <w:spacing w:after="0" w:line="240" w:lineRule="auto"/>
              <w:contextualSpacing/>
              <w:rPr>
                <w:rFonts w:ascii="Times New Roman" w:hAnsi="Times New Roman" w:cs="Times New Roman"/>
                <w:sz w:val="24"/>
                <w:szCs w:val="24"/>
                <w:highlight w:val="yellow"/>
              </w:rPr>
            </w:pPr>
            <w:r w:rsidRPr="00571E65">
              <w:rPr>
                <w:rFonts w:ascii="Times New Roman" w:hAnsi="Times New Roman" w:cs="Times New Roman"/>
                <w:sz w:val="24"/>
                <w:szCs w:val="24"/>
              </w:rPr>
              <w:t xml:space="preserve">81.30.10.000 </w:t>
            </w:r>
            <w:r>
              <w:rPr>
                <w:rFonts w:ascii="Times New Roman" w:hAnsi="Times New Roman" w:cs="Times New Roman"/>
                <w:sz w:val="24"/>
                <w:szCs w:val="24"/>
              </w:rPr>
              <w:t>_</w:t>
            </w:r>
            <w:r w:rsidRPr="00571E65">
              <w:rPr>
                <w:rFonts w:ascii="Times New Roman" w:hAnsi="Times New Roman" w:cs="Times New Roman"/>
                <w:sz w:val="24"/>
                <w:szCs w:val="24"/>
              </w:rPr>
              <w:t xml:space="preserve"> Услуги по планировке ландшафта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0"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571E65" w:rsidP="006E7955">
            <w:pPr>
              <w:spacing w:after="60" w:line="240" w:lineRule="auto"/>
              <w:rPr>
                <w:rFonts w:ascii="Times New Roman" w:hAnsi="Times New Roman" w:cs="Times New Roman"/>
                <w:b/>
                <w:sz w:val="24"/>
                <w:szCs w:val="24"/>
              </w:rPr>
            </w:pPr>
            <w:r w:rsidRPr="00571E65">
              <w:rPr>
                <w:rFonts w:ascii="Times New Roman" w:hAnsi="Times New Roman" w:cs="Times New Roman"/>
                <w:b/>
                <w:sz w:val="24"/>
                <w:szCs w:val="24"/>
              </w:rPr>
              <w:t>239 339,00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571E65">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09198E">
              <w:rPr>
                <w:rFonts w:ascii="Times New Roman" w:hAnsi="Times New Roman" w:cs="Times New Roman"/>
                <w:sz w:val="24"/>
                <w:szCs w:val="24"/>
              </w:rPr>
              <w:t>050319</w:t>
            </w:r>
            <w:r w:rsidRPr="005E477B">
              <w:rPr>
                <w:rFonts w:ascii="Times New Roman" w:hAnsi="Times New Roman" w:cs="Times New Roman"/>
                <w:sz w:val="24"/>
                <w:szCs w:val="24"/>
              </w:rPr>
              <w:t>00</w:t>
            </w:r>
            <w:r w:rsidR="00571E65">
              <w:rPr>
                <w:rFonts w:ascii="Times New Roman" w:hAnsi="Times New Roman" w:cs="Times New Roman"/>
                <w:sz w:val="24"/>
                <w:szCs w:val="24"/>
              </w:rPr>
              <w:t>2</w:t>
            </w:r>
            <w:r w:rsidRPr="005E477B">
              <w:rPr>
                <w:rFonts w:ascii="Times New Roman" w:hAnsi="Times New Roman" w:cs="Times New Roman"/>
                <w:sz w:val="24"/>
                <w:szCs w:val="24"/>
              </w:rPr>
              <w:t>20</w:t>
            </w:r>
            <w:r w:rsidR="0009198E">
              <w:rPr>
                <w:rFonts w:ascii="Times New Roman" w:hAnsi="Times New Roman" w:cs="Times New Roman"/>
                <w:sz w:val="24"/>
                <w:szCs w:val="24"/>
              </w:rPr>
              <w:t>50</w:t>
            </w:r>
            <w:r w:rsidRPr="005E477B">
              <w:rPr>
                <w:rFonts w:ascii="Times New Roman" w:hAnsi="Times New Roman" w:cs="Times New Roman"/>
                <w:sz w:val="24"/>
                <w:szCs w:val="24"/>
              </w:rPr>
              <w:t>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0"/>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38E4">
            <w:pPr>
              <w:autoSpaceDE w:val="0"/>
              <w:autoSpaceDN w:val="0"/>
              <w:adjustRightInd w:val="0"/>
              <w:spacing w:after="0" w:line="250" w:lineRule="exact"/>
              <w:rPr>
                <w:rFonts w:ascii="Times New Roman" w:hAnsi="Times New Roman" w:cs="Times New Roman"/>
                <w:sz w:val="24"/>
                <w:szCs w:val="24"/>
              </w:rPr>
            </w:pPr>
            <w:bookmarkStart w:id="11"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 к Информационной карте аукциона)</w:t>
            </w:r>
            <w:bookmarkEnd w:id="11"/>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09198E" w:rsidRPr="0009198E">
              <w:rPr>
                <w:rFonts w:ascii="Times New Roman" w:hAnsi="Times New Roman" w:cs="Times New Roman"/>
                <w:i/>
                <w:sz w:val="24"/>
                <w:szCs w:val="24"/>
              </w:rPr>
              <w:t>Благоустройство муниципального образования «Поселок Вольгинский» на 2020-2022 годы</w:t>
            </w:r>
            <w:r>
              <w:rPr>
                <w:rFonts w:ascii="Times New Roman" w:hAnsi="Times New Roman" w:cs="Times New Roman"/>
                <w:i/>
                <w:sz w:val="24"/>
                <w:szCs w:val="24"/>
              </w:rPr>
              <w:t>».</w:t>
            </w:r>
          </w:p>
          <w:p w:rsidR="00DC263D" w:rsidRPr="00E24CCE" w:rsidRDefault="00DC263D" w:rsidP="00094E6A">
            <w:pPr>
              <w:spacing w:after="0" w:line="250" w:lineRule="exact"/>
              <w:rPr>
                <w:rFonts w:ascii="Times New Roman" w:hAnsi="Times New Roman" w:cs="Times New Roman"/>
                <w:i/>
                <w:sz w:val="24"/>
                <w:szCs w:val="24"/>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571E65"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1196,70</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571E65" w:rsidP="00CC1880">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11966,95</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CC1880" w:rsidP="00DC263D">
            <w:pPr>
              <w:autoSpaceDE w:val="0"/>
              <w:autoSpaceDN w:val="0"/>
              <w:adjustRightInd w:val="0"/>
              <w:spacing w:after="0" w:line="240" w:lineRule="auto"/>
              <w:contextualSpacing/>
              <w:rPr>
                <w:rFonts w:ascii="Times New Roman" w:hAnsi="Times New Roman" w:cs="Times New Roman"/>
                <w:b/>
                <w:bCs/>
                <w:sz w:val="24"/>
                <w:szCs w:val="24"/>
              </w:rPr>
            </w:pPr>
            <w:r w:rsidRPr="00CC1880">
              <w:rPr>
                <w:rFonts w:ascii="Times New Roman" w:eastAsia="Times New Roman" w:hAnsi="Times New Roman" w:cs="Times New Roman"/>
                <w:b/>
                <w:sz w:val="23"/>
                <w:szCs w:val="23"/>
              </w:rPr>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571E65"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571E65"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w:t>
            </w:r>
            <w:r w:rsidR="007A4646" w:rsidRPr="00325D3D">
              <w:rPr>
                <w:bCs/>
                <w:sz w:val="23"/>
                <w:szCs w:val="23"/>
              </w:rPr>
              <w:lastRenderedPageBreak/>
              <w:t>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CC1880">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E29B2">
            <w:pPr>
              <w:widowControl w:val="0"/>
              <w:tabs>
                <w:tab w:val="left" w:pos="1680"/>
              </w:tabs>
              <w:spacing w:after="2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9668B0" w:rsidP="009668B0">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07</w:t>
            </w:r>
            <w:r w:rsidR="000B21D2">
              <w:rPr>
                <w:rFonts w:ascii="Times New Roman" w:hAnsi="Times New Roman" w:cs="Times New Roman"/>
                <w:b/>
                <w:sz w:val="24"/>
                <w:szCs w:val="24"/>
              </w:rPr>
              <w:t>.0</w:t>
            </w:r>
            <w:r>
              <w:rPr>
                <w:rFonts w:ascii="Times New Roman" w:hAnsi="Times New Roman" w:cs="Times New Roman"/>
                <w:b/>
                <w:sz w:val="24"/>
                <w:szCs w:val="24"/>
              </w:rPr>
              <w:t>4</w:t>
            </w:r>
            <w:r w:rsidR="007C2CAD" w:rsidRPr="005A2C1D">
              <w:rPr>
                <w:rFonts w:ascii="Times New Roman" w:hAnsi="Times New Roman" w:cs="Times New Roman"/>
                <w:b/>
                <w:sz w:val="24"/>
                <w:szCs w:val="24"/>
              </w:rPr>
              <w:t>.2020</w:t>
            </w:r>
            <w:r w:rsidR="004A2F6E" w:rsidRPr="005A2C1D">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DC1DDE" w:rsidRPr="005A2C1D">
              <w:rPr>
                <w:rFonts w:ascii="Times New Roman" w:hAnsi="Times New Roman" w:cs="Times New Roman"/>
                <w:sz w:val="24"/>
                <w:szCs w:val="24"/>
              </w:rPr>
              <w:t>–</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9668B0">
              <w:rPr>
                <w:rFonts w:ascii="Times New Roman" w:hAnsi="Times New Roman" w:cs="Times New Roman"/>
                <w:b/>
                <w:sz w:val="24"/>
                <w:szCs w:val="24"/>
              </w:rPr>
              <w:t>05.04</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AE29B2" w:rsidRDefault="009668B0"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sz w:val="24"/>
                <w:szCs w:val="24"/>
              </w:rPr>
              <w:t>03.04</w:t>
            </w:r>
            <w:r w:rsidR="009977E7" w:rsidRPr="00AE29B2">
              <w:rPr>
                <w:rFonts w:ascii="Times New Roman" w:hAnsi="Times New Roman" w:cs="Times New Roman"/>
                <w:sz w:val="24"/>
                <w:szCs w:val="24"/>
              </w:rPr>
              <w:t xml:space="preserve">.2020 </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9668B0"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08.04</w:t>
            </w:r>
            <w:r w:rsidR="000B21D2">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9668B0"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09.04</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094E6A">
            <w:pPr>
              <w:autoSpaceDE w:val="0"/>
              <w:autoSpaceDN w:val="0"/>
              <w:adjustRightInd w:val="0"/>
              <w:spacing w:after="60" w:line="280" w:lineRule="exact"/>
              <w:rPr>
                <w:rFonts w:ascii="Times New Roman" w:hAnsi="Times New Roman" w:cs="Times New Roman"/>
                <w:i/>
                <w:iCs/>
                <w:sz w:val="24"/>
                <w:szCs w:val="24"/>
              </w:rPr>
            </w:pPr>
            <w:r w:rsidRPr="00571E65">
              <w:rPr>
                <w:rFonts w:ascii="Times New Roman" w:hAnsi="Times New Roman" w:cs="Times New Roman"/>
                <w:iCs/>
                <w:sz w:val="24"/>
                <w:szCs w:val="24"/>
              </w:rPr>
              <w:t>Подробное описание объекта закупки приведено в техническом задании в</w:t>
            </w:r>
            <w:r w:rsidR="004A2F6E" w:rsidRPr="00571E65">
              <w:rPr>
                <w:rFonts w:ascii="Times New Roman" w:hAnsi="Times New Roman" w:cs="Times New Roman"/>
                <w:iCs/>
                <w:sz w:val="24"/>
                <w:szCs w:val="24"/>
              </w:rPr>
              <w:t xml:space="preserve"> соответствии с </w:t>
            </w:r>
            <w:r w:rsidRPr="00571E65">
              <w:rPr>
                <w:rFonts w:ascii="Times New Roman" w:hAnsi="Times New Roman" w:cs="Times New Roman"/>
                <w:iCs/>
                <w:sz w:val="24"/>
                <w:szCs w:val="24"/>
              </w:rPr>
              <w:t>локальным ресурсным сметным расчетом</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571E65" w:rsidP="00A14F2E">
            <w:pPr>
              <w:spacing w:after="60" w:line="280" w:lineRule="exact"/>
              <w:rPr>
                <w:rFonts w:ascii="Times New Roman" w:hAnsi="Times New Roman" w:cs="Times New Roman"/>
                <w:sz w:val="24"/>
                <w:szCs w:val="24"/>
              </w:rPr>
            </w:pPr>
            <w:r w:rsidRPr="00571E65">
              <w:rPr>
                <w:rFonts w:ascii="Times New Roman" w:hAnsi="Times New Roman" w:cs="Times New Roman"/>
                <w:color w:val="000000"/>
                <w:sz w:val="24"/>
                <w:szCs w:val="24"/>
              </w:rPr>
              <w:t>Владимирская область, Петушинский район, территория поселка Вольгинский, согласно Приложению к Техническому заданию</w:t>
            </w:r>
            <w:r w:rsidR="00A14F2E">
              <w:rPr>
                <w:rFonts w:ascii="Times New Roman" w:hAnsi="Times New Roman" w:cs="Times New Roman"/>
                <w:color w:val="000000"/>
                <w:sz w:val="24"/>
                <w:szCs w:val="24"/>
              </w:rPr>
              <w:t xml:space="preserve"> </w:t>
            </w:r>
            <w:bookmarkStart w:id="12" w:name="_GoBack"/>
            <w:bookmarkEnd w:id="12"/>
            <w:r w:rsidRPr="00571E65">
              <w:rPr>
                <w:rFonts w:ascii="Times New Roman" w:hAnsi="Times New Roman" w:cs="Times New Roman"/>
                <w:color w:val="000000"/>
                <w:sz w:val="24"/>
                <w:szCs w:val="24"/>
              </w:rPr>
              <w:t>(</w:t>
            </w:r>
            <w:r w:rsidRPr="00571E65">
              <w:rPr>
                <w:rFonts w:ascii="Times New Roman" w:hAnsi="Times New Roman" w:cs="Times New Roman"/>
                <w:i/>
                <w:color w:val="000000"/>
                <w:sz w:val="24"/>
                <w:szCs w:val="24"/>
              </w:rPr>
              <w:t>приложение №</w:t>
            </w:r>
            <w:r w:rsidR="00A14F2E">
              <w:rPr>
                <w:rFonts w:ascii="Times New Roman" w:hAnsi="Times New Roman" w:cs="Times New Roman"/>
                <w:i/>
                <w:color w:val="000000"/>
                <w:sz w:val="24"/>
                <w:szCs w:val="24"/>
              </w:rPr>
              <w:t xml:space="preserve"> 1</w:t>
            </w:r>
            <w:r w:rsidRPr="00571E65">
              <w:rPr>
                <w:rFonts w:ascii="Times New Roman" w:hAnsi="Times New Roman" w:cs="Times New Roman"/>
                <w:i/>
                <w:color w:val="000000"/>
                <w:sz w:val="24"/>
                <w:szCs w:val="24"/>
              </w:rPr>
              <w:t xml:space="preserve"> к информационной карте электронного аукциона</w:t>
            </w:r>
            <w:r w:rsidRPr="00571E65">
              <w:rPr>
                <w:rFonts w:ascii="Times New Roman" w:hAnsi="Times New Roman" w:cs="Times New Roman"/>
                <w:color w:val="000000"/>
                <w:sz w:val="24"/>
                <w:szCs w:val="24"/>
              </w:rPr>
              <w:t>).</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E940A3" w:rsidRPr="00E940A3" w:rsidRDefault="00E940A3" w:rsidP="00E940A3">
            <w:pPr>
              <w:spacing w:after="0" w:line="280" w:lineRule="exact"/>
              <w:contextualSpacing/>
              <w:rPr>
                <w:rFonts w:ascii="Times New Roman" w:hAnsi="Times New Roman" w:cs="Times New Roman"/>
                <w:i/>
                <w:sz w:val="24"/>
                <w:szCs w:val="24"/>
              </w:rPr>
            </w:pPr>
            <w:r w:rsidRPr="00E940A3">
              <w:rPr>
                <w:rFonts w:ascii="Times New Roman" w:hAnsi="Times New Roman" w:cs="Times New Roman"/>
                <w:i/>
                <w:sz w:val="24"/>
                <w:szCs w:val="24"/>
              </w:rPr>
              <w:t>начало выполнения работ –«15» мая 2020 г.,</w:t>
            </w:r>
          </w:p>
          <w:p w:rsidR="004A2F6E" w:rsidRPr="00624AF5" w:rsidRDefault="00E940A3" w:rsidP="00E940A3">
            <w:pPr>
              <w:spacing w:after="0" w:line="280" w:lineRule="exact"/>
              <w:contextualSpacing/>
              <w:rPr>
                <w:rFonts w:ascii="Times New Roman" w:hAnsi="Times New Roman" w:cs="Times New Roman"/>
                <w:i/>
                <w:sz w:val="24"/>
                <w:szCs w:val="24"/>
              </w:rPr>
            </w:pPr>
            <w:r w:rsidRPr="00E940A3">
              <w:rPr>
                <w:rFonts w:ascii="Times New Roman" w:hAnsi="Times New Roman" w:cs="Times New Roman"/>
                <w:i/>
                <w:sz w:val="24"/>
                <w:szCs w:val="24"/>
              </w:rPr>
              <w:t>окончание выполнения работ - «10» июня 2020 г.</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571E65" w:rsidP="00094E6A">
            <w:pPr>
              <w:spacing w:before="40" w:after="60" w:line="280" w:lineRule="exact"/>
              <w:rPr>
                <w:rFonts w:ascii="Times New Roman" w:hAnsi="Times New Roman" w:cs="Times New Roman"/>
                <w:sz w:val="24"/>
                <w:szCs w:val="24"/>
              </w:rPr>
            </w:pPr>
            <w:r w:rsidRPr="00571E65">
              <w:rPr>
                <w:rFonts w:ascii="Times New Roman" w:hAnsi="Times New Roman" w:cs="Times New Roman"/>
                <w:sz w:val="24"/>
                <w:szCs w:val="24"/>
              </w:rPr>
              <w:t>239 339,00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571E65" w:rsidP="00094E6A">
            <w:pPr>
              <w:autoSpaceDE w:val="0"/>
              <w:autoSpaceDN w:val="0"/>
              <w:adjustRightInd w:val="0"/>
              <w:spacing w:after="60" w:line="280" w:lineRule="exact"/>
              <w:rPr>
                <w:rFonts w:ascii="Times New Roman" w:hAnsi="Times New Roman" w:cs="Times New Roman"/>
                <w:sz w:val="24"/>
                <w:szCs w:val="24"/>
              </w:rPr>
            </w:pPr>
            <w:r w:rsidRPr="00571E65">
              <w:rPr>
                <w:rFonts w:ascii="Times New Roman" w:hAnsi="Times New Roman" w:cs="Times New Roman"/>
                <w:sz w:val="24"/>
                <w:szCs w:val="24"/>
              </w:rPr>
              <w:t>Гарантии качества распространяются на весь срок выполнен</w:t>
            </w:r>
            <w:r>
              <w:rPr>
                <w:rFonts w:ascii="Times New Roman" w:hAnsi="Times New Roman" w:cs="Times New Roman"/>
                <w:sz w:val="24"/>
                <w:szCs w:val="24"/>
              </w:rPr>
              <w:t>ия работ, объем</w:t>
            </w:r>
            <w:r w:rsidR="000D388B" w:rsidRPr="00CA6EE0">
              <w:rPr>
                <w:rFonts w:ascii="Times New Roman" w:eastAsia="Times New Roman" w:hAnsi="Times New Roman" w:cs="Times New Roman"/>
                <w:sz w:val="24"/>
                <w:szCs w:val="24"/>
                <w:lang w:eastAsia="ar-SA"/>
              </w:rPr>
              <w:t xml:space="preserve">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9198E" w:rsidP="00540BB1">
            <w:pPr>
              <w:widowControl w:val="0"/>
              <w:spacing w:after="0" w:line="240" w:lineRule="auto"/>
              <w:contextualSpacing/>
              <w:rPr>
                <w:rFonts w:ascii="Times New Roman" w:hAnsi="Times New Roman" w:cs="Times New Roman"/>
                <w:b/>
                <w:bCs/>
                <w:sz w:val="24"/>
                <w:szCs w:val="24"/>
              </w:rPr>
            </w:pPr>
            <w:r w:rsidRPr="0009198E">
              <w:rPr>
                <w:rFonts w:ascii="Times New Roman" w:hAnsi="Times New Roman" w:cs="Times New Roman"/>
                <w:b/>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E29B2">
            <w:pPr>
              <w:pStyle w:val="ConsPlusNormal"/>
              <w:spacing w:after="60" w:line="264" w:lineRule="exact"/>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E29B2">
            <w:pPr>
              <w:spacing w:after="0" w:line="272"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E29B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9198E" w:rsidP="00540BB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C77991">
            <w:pPr>
              <w:spacing w:after="60" w:line="262"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C77991">
            <w:pPr>
              <w:numPr>
                <w:ilvl w:val="0"/>
                <w:numId w:val="2"/>
              </w:numPr>
              <w:spacing w:after="60" w:line="262"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AD20E8" w:rsidP="00C77991">
            <w:pPr>
              <w:pStyle w:val="af"/>
              <w:widowControl w:val="0"/>
              <w:numPr>
                <w:ilvl w:val="1"/>
                <w:numId w:val="2"/>
              </w:numPr>
              <w:autoSpaceDE w:val="0"/>
              <w:autoSpaceDN w:val="0"/>
              <w:adjustRightInd w:val="0"/>
              <w:spacing w:before="60" w:after="60" w:line="262" w:lineRule="exact"/>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B43836">
              <w:t>ение работы или оказание услуги;</w:t>
            </w:r>
          </w:p>
          <w:p w:rsidR="00AD20E8" w:rsidRDefault="00B43836" w:rsidP="00C77991">
            <w:pPr>
              <w:pStyle w:val="af"/>
              <w:widowControl w:val="0"/>
              <w:numPr>
                <w:ilvl w:val="1"/>
                <w:numId w:val="2"/>
              </w:numPr>
              <w:autoSpaceDE w:val="0"/>
              <w:autoSpaceDN w:val="0"/>
              <w:adjustRightInd w:val="0"/>
              <w:spacing w:before="60" w:after="60" w:line="262" w:lineRule="exact"/>
              <w:ind w:left="72" w:firstLine="0"/>
            </w:pPr>
            <w:r w:rsidRPr="00C77991">
              <w:rPr>
                <w:b/>
              </w:rPr>
              <w:t>наименование страны происхождения товара</w:t>
            </w:r>
            <w:r>
              <w:t>;</w:t>
            </w:r>
          </w:p>
          <w:p w:rsidR="007A3431" w:rsidRPr="00571E65" w:rsidRDefault="007A3431" w:rsidP="00C77991">
            <w:pPr>
              <w:pStyle w:val="af"/>
              <w:widowControl w:val="0"/>
              <w:numPr>
                <w:ilvl w:val="1"/>
                <w:numId w:val="2"/>
              </w:numPr>
              <w:autoSpaceDE w:val="0"/>
              <w:autoSpaceDN w:val="0"/>
              <w:adjustRightInd w:val="0"/>
              <w:spacing w:before="60" w:after="60" w:line="262" w:lineRule="exact"/>
              <w:ind w:left="0" w:firstLine="72"/>
              <w:rPr>
                <w:b/>
                <w:i/>
              </w:rPr>
            </w:pPr>
            <w:r w:rsidRPr="00571E65">
              <w:rPr>
                <w:b/>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571E65">
              <w:t xml:space="preserve">. </w:t>
            </w:r>
            <w:r w:rsidRPr="00571E65">
              <w:rPr>
                <w:b/>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571E65">
              <w:rPr>
                <w:i/>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571E65">
              <w:rPr>
                <w:b/>
                <w:i/>
              </w:rPr>
              <w:t>(Приложение№5 к информационной карте электронного аукциона)</w:t>
            </w:r>
          </w:p>
          <w:p w:rsidR="00AD20E8" w:rsidRPr="00F05E47" w:rsidRDefault="00AD20E8" w:rsidP="00C77991">
            <w:pPr>
              <w:spacing w:after="0" w:line="262"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w:t>
            </w:r>
            <w:r w:rsidRPr="00F05E47">
              <w:rPr>
                <w:rFonts w:ascii="Times New Roman" w:hAnsi="Times New Roman" w:cs="Times New Roman"/>
                <w:sz w:val="24"/>
                <w:szCs w:val="24"/>
              </w:rPr>
              <w:lastRenderedPageBreak/>
              <w:t xml:space="preserve">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C77991">
            <w:pPr>
              <w:spacing w:after="0" w:line="262" w:lineRule="exact"/>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C77991">
            <w:pPr>
              <w:spacing w:after="4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C77991">
            <w:pPr>
              <w:spacing w:after="60" w:line="262" w:lineRule="exact"/>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3836" w:rsidRPr="00B43836">
              <w:rPr>
                <w:rFonts w:ascii="Times New Roman" w:hAnsi="Times New Roman" w:cs="Times New Roman"/>
                <w:b/>
                <w:i/>
                <w:sz w:val="24"/>
                <w:szCs w:val="24"/>
                <w:u w:val="single"/>
              </w:rPr>
              <w:t>не установлено</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77991">
            <w:pPr>
              <w:widowControl w:val="0"/>
              <w:spacing w:after="0" w:line="27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77991">
            <w:pPr>
              <w:autoSpaceDE w:val="0"/>
              <w:autoSpaceDN w:val="0"/>
              <w:adjustRightInd w:val="0"/>
              <w:spacing w:after="0" w:line="266"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77991">
            <w:pPr>
              <w:spacing w:before="40" w:after="60" w:line="266"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C77991">
            <w:pPr>
              <w:spacing w:after="0" w:line="266" w:lineRule="exact"/>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77991">
            <w:pPr>
              <w:spacing w:before="120" w:after="120" w:line="266" w:lineRule="exact"/>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C7799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48" w:rsidRDefault="00645F48" w:rsidP="00CC527E">
      <w:pPr>
        <w:spacing w:after="0" w:line="240" w:lineRule="auto"/>
      </w:pPr>
      <w:r>
        <w:separator/>
      </w:r>
    </w:p>
  </w:endnote>
  <w:endnote w:type="continuationSeparator" w:id="0">
    <w:p w:rsidR="00645F48" w:rsidRDefault="00645F48"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CC"/>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4E067E" w:rsidRDefault="001A5F83">
        <w:pPr>
          <w:pStyle w:val="a5"/>
          <w:jc w:val="center"/>
        </w:pPr>
        <w:r>
          <w:fldChar w:fldCharType="begin"/>
        </w:r>
        <w:r w:rsidR="004E067E">
          <w:instrText>PAGE   \* MERGEFORMAT</w:instrText>
        </w:r>
        <w:r>
          <w:fldChar w:fldCharType="separate"/>
        </w:r>
        <w:r w:rsidR="00A14F2E">
          <w:rPr>
            <w:noProof/>
          </w:rPr>
          <w:t>27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7E" w:rsidRDefault="004E067E"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48" w:rsidRDefault="00645F48" w:rsidP="00CC527E">
      <w:pPr>
        <w:spacing w:after="0" w:line="240" w:lineRule="auto"/>
      </w:pPr>
      <w:r>
        <w:separator/>
      </w:r>
    </w:p>
  </w:footnote>
  <w:footnote w:type="continuationSeparator" w:id="0">
    <w:p w:rsidR="00645F48" w:rsidRDefault="00645F48"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9198E"/>
    <w:rsid w:val="000944A1"/>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5F83"/>
    <w:rsid w:val="001A6F11"/>
    <w:rsid w:val="001C484D"/>
    <w:rsid w:val="001D2354"/>
    <w:rsid w:val="001D44D3"/>
    <w:rsid w:val="001D756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43E4"/>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E1C90"/>
    <w:rsid w:val="003F1DB1"/>
    <w:rsid w:val="0040003E"/>
    <w:rsid w:val="0040790E"/>
    <w:rsid w:val="00416A81"/>
    <w:rsid w:val="00422EED"/>
    <w:rsid w:val="00426C40"/>
    <w:rsid w:val="00432482"/>
    <w:rsid w:val="00442B7E"/>
    <w:rsid w:val="00447D27"/>
    <w:rsid w:val="00473B89"/>
    <w:rsid w:val="00484493"/>
    <w:rsid w:val="004862F9"/>
    <w:rsid w:val="0048736F"/>
    <w:rsid w:val="00495C91"/>
    <w:rsid w:val="004A2F6E"/>
    <w:rsid w:val="004B1185"/>
    <w:rsid w:val="004B2343"/>
    <w:rsid w:val="004C2595"/>
    <w:rsid w:val="004D5B04"/>
    <w:rsid w:val="004E067E"/>
    <w:rsid w:val="004E264F"/>
    <w:rsid w:val="004E4CC4"/>
    <w:rsid w:val="004E54D0"/>
    <w:rsid w:val="004F513F"/>
    <w:rsid w:val="00500D09"/>
    <w:rsid w:val="00501743"/>
    <w:rsid w:val="00520BD4"/>
    <w:rsid w:val="0052158F"/>
    <w:rsid w:val="00533EEC"/>
    <w:rsid w:val="00540BB1"/>
    <w:rsid w:val="005413DF"/>
    <w:rsid w:val="00551DF0"/>
    <w:rsid w:val="0056604D"/>
    <w:rsid w:val="005670B3"/>
    <w:rsid w:val="00567105"/>
    <w:rsid w:val="00571E6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477B"/>
    <w:rsid w:val="005E78D8"/>
    <w:rsid w:val="005F139B"/>
    <w:rsid w:val="005F181B"/>
    <w:rsid w:val="005F5484"/>
    <w:rsid w:val="00613BBE"/>
    <w:rsid w:val="00624AF5"/>
    <w:rsid w:val="006270AC"/>
    <w:rsid w:val="00634937"/>
    <w:rsid w:val="00634A37"/>
    <w:rsid w:val="00635015"/>
    <w:rsid w:val="0063741A"/>
    <w:rsid w:val="00637C2C"/>
    <w:rsid w:val="00640A88"/>
    <w:rsid w:val="006436B8"/>
    <w:rsid w:val="00643DD3"/>
    <w:rsid w:val="00645F48"/>
    <w:rsid w:val="006462F9"/>
    <w:rsid w:val="006523B5"/>
    <w:rsid w:val="006609D1"/>
    <w:rsid w:val="00664BFD"/>
    <w:rsid w:val="006707B2"/>
    <w:rsid w:val="0067791B"/>
    <w:rsid w:val="0069200A"/>
    <w:rsid w:val="006963FB"/>
    <w:rsid w:val="006C0D71"/>
    <w:rsid w:val="006D1BF9"/>
    <w:rsid w:val="006E7955"/>
    <w:rsid w:val="006F00F0"/>
    <w:rsid w:val="006F288E"/>
    <w:rsid w:val="006F31CF"/>
    <w:rsid w:val="007013DE"/>
    <w:rsid w:val="007015FA"/>
    <w:rsid w:val="0070244F"/>
    <w:rsid w:val="007125C2"/>
    <w:rsid w:val="00715C51"/>
    <w:rsid w:val="007218A5"/>
    <w:rsid w:val="00721C4F"/>
    <w:rsid w:val="00731073"/>
    <w:rsid w:val="00735DB7"/>
    <w:rsid w:val="00744753"/>
    <w:rsid w:val="007560C7"/>
    <w:rsid w:val="00762E4C"/>
    <w:rsid w:val="00763E7E"/>
    <w:rsid w:val="0077052F"/>
    <w:rsid w:val="00780063"/>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50C94"/>
    <w:rsid w:val="00873F91"/>
    <w:rsid w:val="00875473"/>
    <w:rsid w:val="00875D0D"/>
    <w:rsid w:val="00884FF3"/>
    <w:rsid w:val="008858C5"/>
    <w:rsid w:val="00892B9B"/>
    <w:rsid w:val="00892D86"/>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670F"/>
    <w:rsid w:val="00961A80"/>
    <w:rsid w:val="00962968"/>
    <w:rsid w:val="009668B0"/>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14F2E"/>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C0F81"/>
    <w:rsid w:val="00AD1E48"/>
    <w:rsid w:val="00AD20E8"/>
    <w:rsid w:val="00AD3B6A"/>
    <w:rsid w:val="00AD6CA8"/>
    <w:rsid w:val="00AE0071"/>
    <w:rsid w:val="00AE06EA"/>
    <w:rsid w:val="00AE29B2"/>
    <w:rsid w:val="00AE49D0"/>
    <w:rsid w:val="00AF47AF"/>
    <w:rsid w:val="00AF7C3A"/>
    <w:rsid w:val="00B109F5"/>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C0041C"/>
    <w:rsid w:val="00C04C89"/>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F3B21"/>
    <w:rsid w:val="00CF3C11"/>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F0DBF"/>
    <w:rsid w:val="00E03997"/>
    <w:rsid w:val="00E03CD2"/>
    <w:rsid w:val="00E07D01"/>
    <w:rsid w:val="00E15528"/>
    <w:rsid w:val="00E20248"/>
    <w:rsid w:val="00E245DB"/>
    <w:rsid w:val="00E24CCE"/>
    <w:rsid w:val="00E2512A"/>
    <w:rsid w:val="00E331E6"/>
    <w:rsid w:val="00E36D7C"/>
    <w:rsid w:val="00E439E8"/>
    <w:rsid w:val="00E46809"/>
    <w:rsid w:val="00E76AA6"/>
    <w:rsid w:val="00E83A9B"/>
    <w:rsid w:val="00E8534A"/>
    <w:rsid w:val="00E90B50"/>
    <w:rsid w:val="00E940A3"/>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49DA"/>
    <w:rsid w:val="00F8633D"/>
    <w:rsid w:val="00F8688D"/>
    <w:rsid w:val="00F87A4B"/>
    <w:rsid w:val="00FA5DA1"/>
    <w:rsid w:val="00FC1C84"/>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3764</TotalTime>
  <Pages>31</Pages>
  <Words>17456</Words>
  <Characters>99504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142</cp:revision>
  <cp:lastPrinted>2020-01-20T08:16:00Z</cp:lastPrinted>
  <dcterms:created xsi:type="dcterms:W3CDTF">2017-01-16T17:06:00Z</dcterms:created>
  <dcterms:modified xsi:type="dcterms:W3CDTF">2020-03-26T08:26:00Z</dcterms:modified>
</cp:coreProperties>
</file>