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C6" w:rsidRPr="0091182A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0233C6" w:rsidRPr="007664A7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3C6" w:rsidRPr="0091182A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0233C6" w:rsidRPr="0091182A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0233C6" w:rsidRPr="007664A7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3C6" w:rsidRPr="0091182A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0233C6" w:rsidRPr="0091182A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0233C6" w:rsidRPr="007664A7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3C6" w:rsidRPr="0091182A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0233C6" w:rsidRPr="007664A7" w:rsidRDefault="000233C6" w:rsidP="0002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0233C6" w:rsidRPr="00F77269" w:rsidTr="00E44BAF">
        <w:tc>
          <w:tcPr>
            <w:tcW w:w="530" w:type="dxa"/>
          </w:tcPr>
          <w:p w:rsidR="000233C6" w:rsidRPr="00F77269" w:rsidRDefault="000233C6" w:rsidP="00E44B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0233C6" w:rsidRPr="00F77269" w:rsidRDefault="000233C6" w:rsidP="00E44B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09.11.2021</w:t>
            </w:r>
          </w:p>
        </w:tc>
        <w:tc>
          <w:tcPr>
            <w:tcW w:w="6019" w:type="dxa"/>
          </w:tcPr>
          <w:p w:rsidR="000233C6" w:rsidRPr="00F77269" w:rsidRDefault="000233C6" w:rsidP="00E44B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0233C6" w:rsidRPr="00F77269" w:rsidRDefault="000233C6" w:rsidP="00E44BA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0233C6" w:rsidRPr="00F77269" w:rsidRDefault="000233C6" w:rsidP="00E44BA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33/10</w:t>
            </w:r>
          </w:p>
        </w:tc>
      </w:tr>
    </w:tbl>
    <w:p w:rsidR="000233C6" w:rsidRPr="007664A7" w:rsidRDefault="000233C6" w:rsidP="00023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0233C6" w:rsidRPr="00630FF0" w:rsidRDefault="000233C6" w:rsidP="000233C6">
      <w:pPr>
        <w:spacing w:after="0" w:line="240" w:lineRule="auto"/>
        <w:ind w:right="4762"/>
        <w:jc w:val="both"/>
        <w:rPr>
          <w:rFonts w:ascii="Times New Roman" w:hAnsi="Times New Roman"/>
          <w:i/>
          <w:sz w:val="24"/>
          <w:szCs w:val="24"/>
        </w:rPr>
      </w:pPr>
      <w:r w:rsidRPr="00630FF0">
        <w:rPr>
          <w:rFonts w:ascii="Times New Roman" w:hAnsi="Times New Roman"/>
          <w:i/>
          <w:sz w:val="24"/>
          <w:szCs w:val="24"/>
        </w:rPr>
        <w:t>О передаче</w:t>
      </w:r>
      <w:proofErr w:type="gramStart"/>
      <w:r w:rsidRPr="00630FF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630FF0">
        <w:rPr>
          <w:rFonts w:ascii="Times New Roman" w:hAnsi="Times New Roman"/>
          <w:i/>
          <w:sz w:val="24"/>
          <w:szCs w:val="24"/>
        </w:rPr>
        <w:t>онтрольно- счетному органу Петушинского района части полномочий по осуществлению внешнего муниципального  финансового контроля на 2022-2024 годы.</w:t>
      </w:r>
    </w:p>
    <w:p w:rsidR="000233C6" w:rsidRPr="00630FF0" w:rsidRDefault="000233C6" w:rsidP="000233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3C6" w:rsidRPr="00630FF0" w:rsidRDefault="000233C6" w:rsidP="000233C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30FF0">
        <w:rPr>
          <w:rFonts w:ascii="Times New Roman" w:hAnsi="Times New Roman"/>
          <w:sz w:val="28"/>
          <w:szCs w:val="24"/>
        </w:rPr>
        <w:t xml:space="preserve">Рассмотрев обращение главы администрации поселка Вольгинский,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4"/>
        </w:rPr>
        <w:t>Федеральным законом от 07.02.2011 № 6-ФЗ «Об общих принципах организации и деятельности</w:t>
      </w:r>
      <w:proofErr w:type="gramStart"/>
      <w:r>
        <w:rPr>
          <w:rFonts w:ascii="Times New Roman" w:hAnsi="Times New Roman"/>
          <w:sz w:val="28"/>
          <w:szCs w:val="24"/>
        </w:rPr>
        <w:t xml:space="preserve"> К</w:t>
      </w:r>
      <w:proofErr w:type="gramEnd"/>
      <w:r>
        <w:rPr>
          <w:rFonts w:ascii="Times New Roman" w:hAnsi="Times New Roman"/>
          <w:sz w:val="28"/>
          <w:szCs w:val="24"/>
        </w:rPr>
        <w:t xml:space="preserve">онтрольно- счетных органов субъектов Российской Федерации и муниципальных образований», </w:t>
      </w:r>
      <w:r w:rsidRPr="00630FF0">
        <w:rPr>
          <w:rFonts w:ascii="Times New Roman" w:hAnsi="Times New Roman"/>
          <w:sz w:val="28"/>
          <w:szCs w:val="24"/>
        </w:rPr>
        <w:t xml:space="preserve">Уставом МО </w:t>
      </w:r>
      <w:r>
        <w:rPr>
          <w:rFonts w:ascii="Times New Roman" w:hAnsi="Times New Roman"/>
          <w:sz w:val="28"/>
          <w:szCs w:val="24"/>
        </w:rPr>
        <w:t>п</w:t>
      </w:r>
      <w:r w:rsidRPr="00630FF0">
        <w:rPr>
          <w:rFonts w:ascii="Times New Roman" w:hAnsi="Times New Roman"/>
          <w:sz w:val="28"/>
          <w:szCs w:val="24"/>
        </w:rPr>
        <w:t>оселок Вольгинский, Совет народных депутатов</w:t>
      </w:r>
    </w:p>
    <w:p w:rsidR="000233C6" w:rsidRPr="00630FF0" w:rsidRDefault="000233C6" w:rsidP="000233C6">
      <w:pPr>
        <w:spacing w:after="120" w:line="240" w:lineRule="auto"/>
        <w:ind w:firstLine="708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630FF0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630FF0">
        <w:rPr>
          <w:rFonts w:ascii="Times New Roman" w:hAnsi="Times New Roman"/>
          <w:sz w:val="28"/>
          <w:szCs w:val="24"/>
        </w:rPr>
        <w:t xml:space="preserve"> е </w:t>
      </w:r>
      <w:proofErr w:type="spellStart"/>
      <w:r w:rsidRPr="00630FF0">
        <w:rPr>
          <w:rFonts w:ascii="Times New Roman" w:hAnsi="Times New Roman"/>
          <w:sz w:val="28"/>
          <w:szCs w:val="24"/>
        </w:rPr>
        <w:t>ш</w:t>
      </w:r>
      <w:proofErr w:type="spellEnd"/>
      <w:r w:rsidRPr="00630FF0">
        <w:rPr>
          <w:rFonts w:ascii="Times New Roman" w:hAnsi="Times New Roman"/>
          <w:sz w:val="28"/>
          <w:szCs w:val="24"/>
        </w:rPr>
        <w:t xml:space="preserve"> и л:</w:t>
      </w:r>
    </w:p>
    <w:p w:rsidR="000233C6" w:rsidRPr="00630FF0" w:rsidRDefault="000233C6" w:rsidP="000233C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FF0">
        <w:rPr>
          <w:rFonts w:ascii="Times New Roman" w:hAnsi="Times New Roman"/>
          <w:sz w:val="28"/>
          <w:szCs w:val="24"/>
        </w:rPr>
        <w:t>1. Передать</w:t>
      </w:r>
      <w:proofErr w:type="gramStart"/>
      <w:r w:rsidRPr="00630FF0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proofErr w:type="gramEnd"/>
      <w:r w:rsidRPr="00630FF0">
        <w:rPr>
          <w:rFonts w:ascii="Times New Roman" w:hAnsi="Times New Roman"/>
          <w:sz w:val="28"/>
          <w:szCs w:val="28"/>
        </w:rPr>
        <w:t>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0FF0">
        <w:rPr>
          <w:rFonts w:ascii="Times New Roman" w:hAnsi="Times New Roman"/>
          <w:sz w:val="28"/>
          <w:szCs w:val="28"/>
        </w:rPr>
        <w:t>- счетному органу Петушинского района</w:t>
      </w:r>
      <w:r w:rsidRPr="00630FF0">
        <w:rPr>
          <w:rFonts w:ascii="Times New Roman" w:hAnsi="Times New Roman"/>
          <w:i/>
          <w:sz w:val="24"/>
          <w:szCs w:val="24"/>
        </w:rPr>
        <w:t xml:space="preserve"> </w:t>
      </w:r>
      <w:r w:rsidRPr="00630FF0">
        <w:rPr>
          <w:rFonts w:ascii="Times New Roman" w:hAnsi="Times New Roman"/>
          <w:sz w:val="28"/>
          <w:szCs w:val="24"/>
        </w:rPr>
        <w:t xml:space="preserve">полномочия по осуществлению </w:t>
      </w:r>
      <w:r w:rsidRPr="00630FF0">
        <w:rPr>
          <w:rFonts w:ascii="Times New Roman" w:hAnsi="Times New Roman"/>
          <w:sz w:val="28"/>
          <w:szCs w:val="28"/>
        </w:rPr>
        <w:t>внешнего муниципального финансового контроля на 2022-2024 годы.</w:t>
      </w:r>
    </w:p>
    <w:p w:rsidR="000233C6" w:rsidRPr="00630FF0" w:rsidRDefault="000233C6" w:rsidP="000233C6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30FF0">
        <w:rPr>
          <w:rFonts w:ascii="Times New Roman" w:hAnsi="Times New Roman"/>
          <w:sz w:val="28"/>
          <w:szCs w:val="24"/>
        </w:rPr>
        <w:t>2. Заключить</w:t>
      </w:r>
      <w:r w:rsidRPr="00630FF0">
        <w:t xml:space="preserve"> </w:t>
      </w:r>
      <w:r>
        <w:rPr>
          <w:rFonts w:ascii="Times New Roman" w:hAnsi="Times New Roman"/>
          <w:sz w:val="28"/>
          <w:szCs w:val="24"/>
        </w:rPr>
        <w:t>соглашение о передаче</w:t>
      </w:r>
      <w:proofErr w:type="gramStart"/>
      <w:r>
        <w:rPr>
          <w:rFonts w:ascii="Times New Roman" w:hAnsi="Times New Roman"/>
          <w:sz w:val="28"/>
          <w:szCs w:val="24"/>
        </w:rPr>
        <w:t xml:space="preserve"> К</w:t>
      </w:r>
      <w:proofErr w:type="gramEnd"/>
      <w:r w:rsidRPr="00630FF0">
        <w:rPr>
          <w:rFonts w:ascii="Times New Roman" w:hAnsi="Times New Roman"/>
          <w:sz w:val="28"/>
          <w:szCs w:val="24"/>
        </w:rPr>
        <w:t>онтрольно</w:t>
      </w:r>
      <w:r>
        <w:rPr>
          <w:rFonts w:ascii="Times New Roman" w:hAnsi="Times New Roman"/>
          <w:sz w:val="28"/>
          <w:szCs w:val="24"/>
        </w:rPr>
        <w:t xml:space="preserve"> </w:t>
      </w:r>
      <w:r w:rsidRPr="00630FF0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 xml:space="preserve"> </w:t>
      </w:r>
      <w:r w:rsidRPr="00630FF0">
        <w:rPr>
          <w:rFonts w:ascii="Times New Roman" w:hAnsi="Times New Roman"/>
          <w:sz w:val="28"/>
          <w:szCs w:val="24"/>
        </w:rPr>
        <w:t>счетному органу Петушинского района части полномочий по осуществлению внешнего муниципального финансового контроля на 2022-2024 годы.</w:t>
      </w:r>
    </w:p>
    <w:p w:rsidR="000233C6" w:rsidRPr="00630FF0" w:rsidRDefault="000233C6" w:rsidP="000233C6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FF0">
        <w:rPr>
          <w:rFonts w:ascii="Times New Roman" w:hAnsi="Times New Roman"/>
          <w:sz w:val="28"/>
          <w:szCs w:val="28"/>
        </w:rPr>
        <w:t xml:space="preserve">3. </w:t>
      </w:r>
      <w:r w:rsidRPr="00630FF0">
        <w:rPr>
          <w:rFonts w:ascii="Times New Roman" w:hAnsi="Times New Roman"/>
          <w:sz w:val="28"/>
          <w:szCs w:val="24"/>
        </w:rPr>
        <w:t>Заключить</w:t>
      </w:r>
      <w:r w:rsidRPr="00630FF0">
        <w:t xml:space="preserve"> </w:t>
      </w:r>
      <w:r w:rsidRPr="00630FF0">
        <w:rPr>
          <w:rFonts w:ascii="Times New Roman" w:hAnsi="Times New Roman"/>
          <w:sz w:val="28"/>
          <w:szCs w:val="24"/>
        </w:rPr>
        <w:t>соглашение в течение месяца между МО поселок Вольгинский Петушинско</w:t>
      </w:r>
      <w:r>
        <w:rPr>
          <w:rFonts w:ascii="Times New Roman" w:hAnsi="Times New Roman"/>
          <w:sz w:val="28"/>
          <w:szCs w:val="24"/>
        </w:rPr>
        <w:t>го района Владимирской области,</w:t>
      </w:r>
      <w:r w:rsidRPr="00630FF0">
        <w:rPr>
          <w:rFonts w:ascii="Times New Roman" w:hAnsi="Times New Roman"/>
          <w:sz w:val="28"/>
          <w:szCs w:val="24"/>
        </w:rPr>
        <w:t xml:space="preserve"> МО Петушинского района </w:t>
      </w:r>
      <w:r>
        <w:rPr>
          <w:rFonts w:ascii="Times New Roman" w:hAnsi="Times New Roman"/>
          <w:sz w:val="28"/>
          <w:szCs w:val="24"/>
        </w:rPr>
        <w:t>и</w:t>
      </w:r>
      <w:proofErr w:type="gramStart"/>
      <w:r>
        <w:rPr>
          <w:rFonts w:ascii="Times New Roman" w:hAnsi="Times New Roman"/>
          <w:sz w:val="28"/>
          <w:szCs w:val="24"/>
        </w:rPr>
        <w:t xml:space="preserve"> К</w:t>
      </w:r>
      <w:proofErr w:type="gramEnd"/>
      <w:r>
        <w:rPr>
          <w:rFonts w:ascii="Times New Roman" w:hAnsi="Times New Roman"/>
          <w:sz w:val="28"/>
          <w:szCs w:val="24"/>
        </w:rPr>
        <w:t xml:space="preserve">онтрольно - счетным органом Петушинского района </w:t>
      </w:r>
      <w:r w:rsidRPr="00630FF0">
        <w:rPr>
          <w:rFonts w:ascii="Times New Roman" w:hAnsi="Times New Roman"/>
          <w:sz w:val="28"/>
          <w:szCs w:val="24"/>
        </w:rPr>
        <w:t xml:space="preserve">для передачи части полномочий по осуществлению внешнего муниципального </w:t>
      </w:r>
      <w:r>
        <w:rPr>
          <w:rFonts w:ascii="Times New Roman" w:hAnsi="Times New Roman"/>
          <w:sz w:val="28"/>
          <w:szCs w:val="24"/>
        </w:rPr>
        <w:t>финансового контроля на сумму 234</w:t>
      </w:r>
      <w:r w:rsidRPr="00630FF0">
        <w:rPr>
          <w:rFonts w:ascii="Times New Roman" w:hAnsi="Times New Roman"/>
          <w:sz w:val="28"/>
          <w:szCs w:val="24"/>
        </w:rPr>
        <w:t xml:space="preserve"> 000,00 рублей (двести </w:t>
      </w:r>
      <w:r>
        <w:rPr>
          <w:rFonts w:ascii="Times New Roman" w:hAnsi="Times New Roman"/>
          <w:sz w:val="28"/>
          <w:szCs w:val="24"/>
        </w:rPr>
        <w:t>тридцать четыре</w:t>
      </w:r>
      <w:r w:rsidRPr="00630FF0">
        <w:rPr>
          <w:rFonts w:ascii="Times New Roman" w:hAnsi="Times New Roman"/>
          <w:sz w:val="28"/>
          <w:szCs w:val="24"/>
        </w:rPr>
        <w:t xml:space="preserve"> тысячи) рублей (00) копеек.</w:t>
      </w:r>
    </w:p>
    <w:p w:rsidR="000233C6" w:rsidRPr="00630FF0" w:rsidRDefault="000233C6" w:rsidP="00023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630FF0">
        <w:rPr>
          <w:rFonts w:ascii="Times New Roman" w:hAnsi="Times New Roman"/>
          <w:sz w:val="28"/>
          <w:szCs w:val="24"/>
        </w:rPr>
        <w:t>4. Настоящее решение подлежит опубликованию (обнародованию) в газете «Вольгинский Вестник», вступает в силу с момента опубликования и распространяется на правоотношения, возникшие с 01.01.2022 года.</w:t>
      </w:r>
    </w:p>
    <w:p w:rsidR="000233C6" w:rsidRPr="008A6A2B" w:rsidRDefault="000233C6" w:rsidP="0002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0233C6" w:rsidRPr="00D41466" w:rsidTr="00E44BAF">
        <w:tc>
          <w:tcPr>
            <w:tcW w:w="5495" w:type="dxa"/>
          </w:tcPr>
          <w:p w:rsidR="000233C6" w:rsidRPr="00D41466" w:rsidRDefault="000233C6" w:rsidP="00E4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3969" w:type="dxa"/>
          </w:tcPr>
          <w:p w:rsidR="000233C6" w:rsidRPr="00D41466" w:rsidRDefault="000233C6" w:rsidP="00E44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6B15EB" w:rsidRDefault="006B15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33C6" w:rsidRPr="000B0278" w:rsidRDefault="000233C6" w:rsidP="000233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33C6" w:rsidRPr="000B0278" w:rsidRDefault="000233C6" w:rsidP="000233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0233C6" w:rsidRPr="000B0278" w:rsidRDefault="000233C6" w:rsidP="000233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0233C6" w:rsidRDefault="000233C6" w:rsidP="000233C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6E0EB6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 w:rsidR="006E0EB6">
        <w:rPr>
          <w:rFonts w:ascii="Times New Roman" w:hAnsi="Times New Roman" w:cs="Times New Roman"/>
          <w:sz w:val="24"/>
          <w:szCs w:val="24"/>
        </w:rPr>
        <w:t xml:space="preserve"> </w:t>
      </w:r>
      <w:r w:rsidR="006E0EB6" w:rsidRPr="006E0EB6">
        <w:rPr>
          <w:rFonts w:ascii="Times New Roman" w:hAnsi="Times New Roman" w:cs="Times New Roman"/>
          <w:sz w:val="24"/>
          <w:szCs w:val="24"/>
          <w:u w:val="single"/>
        </w:rPr>
        <w:t>33/10</w:t>
      </w:r>
    </w:p>
    <w:p w:rsidR="000233C6" w:rsidRDefault="000233C6" w:rsidP="000233C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2764" w:rsidRPr="003507F2" w:rsidRDefault="00632764" w:rsidP="00632764">
      <w:pPr>
        <w:widowControl w:val="0"/>
        <w:spacing w:after="120" w:line="240" w:lineRule="exact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СОГЛАШЕНИЕ №________</w:t>
      </w:r>
    </w:p>
    <w:p w:rsidR="00632764" w:rsidRDefault="00632764" w:rsidP="00632764">
      <w:pPr>
        <w:widowControl w:val="0"/>
        <w:spacing w:after="0" w:line="240" w:lineRule="exact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32764" w:rsidRPr="003507F2" w:rsidRDefault="00632764" w:rsidP="00632764">
      <w:pPr>
        <w:widowControl w:val="0"/>
        <w:spacing w:after="0" w:line="240" w:lineRule="exact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о передаче</w:t>
      </w:r>
      <w:proofErr w:type="gramStart"/>
      <w:r w:rsidRPr="00350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К</w:t>
      </w:r>
      <w:proofErr w:type="gramEnd"/>
      <w:r w:rsidRPr="00350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онтрольно - счетному органу Петушинского района </w:t>
      </w:r>
    </w:p>
    <w:p w:rsidR="00632764" w:rsidRPr="003507F2" w:rsidRDefault="00632764" w:rsidP="00632764">
      <w:pPr>
        <w:widowControl w:val="0"/>
        <w:spacing w:after="0" w:line="240" w:lineRule="exact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части полномочий по осуществлению </w:t>
      </w:r>
      <w:proofErr w:type="gramStart"/>
      <w:r w:rsidRPr="00350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внешнего</w:t>
      </w:r>
      <w:proofErr w:type="gramEnd"/>
    </w:p>
    <w:p w:rsidR="00632764" w:rsidRDefault="00632764" w:rsidP="00632764">
      <w:pPr>
        <w:widowControl w:val="0"/>
        <w:spacing w:after="120" w:line="240" w:lineRule="exact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муниципального финансового контроля на 2022-2024 годы</w:t>
      </w:r>
    </w:p>
    <w:p w:rsidR="00632764" w:rsidRPr="003507F2" w:rsidRDefault="00632764" w:rsidP="00632764">
      <w:pPr>
        <w:widowControl w:val="0"/>
        <w:spacing w:after="120" w:line="240" w:lineRule="exact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632764" w:rsidRPr="003507F2" w:rsidRDefault="00632764" w:rsidP="00632764">
      <w:pPr>
        <w:widowControl w:val="0"/>
        <w:spacing w:after="0" w:line="240" w:lineRule="exact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32764" w:rsidRPr="003507F2" w:rsidRDefault="00632764" w:rsidP="00632764">
      <w:pPr>
        <w:widowControl w:val="0"/>
        <w:spacing w:after="480" w:line="240" w:lineRule="exact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Петушки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ab/>
        <w:t>«__________» 20___г.</w:t>
      </w:r>
    </w:p>
    <w:p w:rsidR="00632764" w:rsidRDefault="00632764" w:rsidP="00632764">
      <w:pPr>
        <w:widowControl w:val="0"/>
        <w:tabs>
          <w:tab w:val="left" w:pos="6322"/>
          <w:tab w:val="left" w:pos="8746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Совет народных депутатов посёлка Вольгинский, в лице главы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МО 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посёл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к Вольгинский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Вещуновой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Татьяны Михайловны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, действующего на основании Устава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осёлок Вольгинский, именуемый в дальнейшем «Поселение», с одной стороны и Совет народных депутатов Петушинского района, в лице Главы Петушинского района Володиной Елены Константиновны, действующего на основании Устава муниципального образования «Петушинский район», именуемый далее «Район», Муниципальное казённое учреждение «Контрольно-счётный орган Петушинского</w:t>
      </w:r>
      <w:proofErr w:type="gramEnd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района», в лице заместителя председателя Гараниной Оксаны Михайловны, действующего на основании Положения «О контрольно-счётном органе Петушинского района», именуемое далее «КСО района», с другой стороны, вместе именуемые Стороны, руководствуясь частью 11 статьи 3 Федерального закона от 07.02.2011 № 6- ФЗ «Об общих принципах организации </w:t>
      </w:r>
      <w:proofErr w:type="spellStart"/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</w:t>
      </w:r>
      <w:proofErr w:type="spellEnd"/>
      <w:proofErr w:type="gramEnd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деятельности контрольно-счётных органов субъектов Российской Федерации и муниципальных образований», во исполнение решений представительных органов Поселения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09.11.2021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33/10 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</w:t>
      </w:r>
      <w:proofErr w:type="gramEnd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заключили настоящее Соглашение о нижеследующем:</w:t>
      </w:r>
    </w:p>
    <w:p w:rsidR="00632764" w:rsidRPr="003507F2" w:rsidRDefault="00632764" w:rsidP="00632764">
      <w:pPr>
        <w:widowControl w:val="0"/>
        <w:tabs>
          <w:tab w:val="left" w:pos="6322"/>
          <w:tab w:val="left" w:pos="8746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32764" w:rsidRPr="003507F2" w:rsidRDefault="00632764" w:rsidP="00632764">
      <w:pPr>
        <w:keepNext/>
        <w:keepLines/>
        <w:widowControl w:val="0"/>
        <w:numPr>
          <w:ilvl w:val="0"/>
          <w:numId w:val="1"/>
        </w:numPr>
        <w:tabs>
          <w:tab w:val="left" w:pos="4130"/>
        </w:tabs>
        <w:spacing w:before="120" w:after="120" w:line="240" w:lineRule="exact"/>
        <w:ind w:left="3861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bookmark1"/>
      <w:r w:rsidRPr="0035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Предмет Соглашения</w:t>
      </w:r>
      <w:bookmarkEnd w:id="0"/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760"/>
        </w:tabs>
        <w:spacing w:after="0" w:line="27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Предметом настоящего Соглашения является передача КСО района с 01.01.2022 по 31.12.2024 части полномочий Поселения по осуществлению внешнего муниципального финансового контроля и передача из бюджета Поселения в бюджет Района межбюджетных трансфертов на осуществление переданных полномочий.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922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От поселения в КСО района передаются следующие полномочия: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1095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Внешняя проверка годового отчёта об исполнении бюджета Поселения;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108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Экспертиза отчётов по исполнению местного бюджета за полугодие и девять месяцев;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1095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Экспертиза проектов бюджета Поселения на очередной год и плановый период;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108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Экспертиза проектов муниципальных правовых актов о внесении изменении в бюджет Поселения, а также проектов муниципальных программ и проектов вносимых изменений в действующие муниципальные программы;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1084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Иные полномочия в сфере внешнего муниципального финансового контроля установленные федеральными законами, законами Владимирской области. Уставом и нормативными правовыми актами Поселения.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760"/>
        </w:tabs>
        <w:spacing w:after="0" w:line="27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Внешняя проверка годового отчёта об исполнении бюджета Поселения и экспертиза отчётов по исполнению местного бюджета за полугодие и девять месяцев 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текущего года, а гак же экспертиза проекта бюджета Поселения включается в план работы КСО района.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760"/>
        </w:tabs>
        <w:spacing w:after="147" w:line="274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Другие экспертно-аналитические мероприятия выполняются по поручению Поселения, подлежат обязательному включению в план работы КСО района.</w:t>
      </w:r>
    </w:p>
    <w:p w:rsidR="00632764" w:rsidRPr="003507F2" w:rsidRDefault="00632764" w:rsidP="00632764">
      <w:pPr>
        <w:widowControl w:val="0"/>
        <w:numPr>
          <w:ilvl w:val="0"/>
          <w:numId w:val="1"/>
        </w:numPr>
        <w:tabs>
          <w:tab w:val="left" w:pos="1444"/>
        </w:tabs>
        <w:spacing w:after="120" w:line="240" w:lineRule="exact"/>
        <w:ind w:left="116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Порядок определения и предоставления межбюджетных трансфертов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760"/>
        </w:tabs>
        <w:spacing w:after="0" w:line="2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Объём межбюджетных трансфертов на очередной год, предоставляемых из бюджета Поселения в бюджет Района на осуществление переданных полномочий, определяется как 13% от суммы следующих расходов:</w:t>
      </w:r>
    </w:p>
    <w:p w:rsidR="00632764" w:rsidRPr="003507F2" w:rsidRDefault="00632764" w:rsidP="00632764">
      <w:pPr>
        <w:widowControl w:val="0"/>
        <w:numPr>
          <w:ilvl w:val="0"/>
          <w:numId w:val="2"/>
        </w:numPr>
        <w:tabs>
          <w:tab w:val="left" w:pos="533"/>
        </w:tabs>
        <w:spacing w:after="0" w:line="2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стандартных расходов на опла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 труда двух аудиторов КСО района:</w:t>
      </w:r>
    </w:p>
    <w:p w:rsidR="00632764" w:rsidRPr="003507F2" w:rsidRDefault="00632764" w:rsidP="00632764">
      <w:pPr>
        <w:widowControl w:val="0"/>
        <w:numPr>
          <w:ilvl w:val="0"/>
          <w:numId w:val="2"/>
        </w:numPr>
        <w:tabs>
          <w:tab w:val="left" w:pos="533"/>
        </w:tabs>
        <w:spacing w:after="0" w:line="278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коэффициента затрат на прочие услуги (связь, интерн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т.</w:t>
      </w:r>
      <w:proofErr w:type="gramEnd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«Консультант»),</w:t>
      </w:r>
      <w:proofErr w:type="gramEnd"/>
    </w:p>
    <w:p w:rsidR="00632764" w:rsidRPr="003507F2" w:rsidRDefault="00632764" w:rsidP="00632764">
      <w:pPr>
        <w:widowControl w:val="0"/>
        <w:spacing w:after="0" w:line="210" w:lineRule="exact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Ежемесячные стандартные расходы на опла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 труда двух аудиторов КСО района с 01.01.2022 устанавливается в размере 123967,4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рублей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коды вида расходов (КВР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121 +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КВР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129 = 95 213,12 + 28 754,36) </w:t>
      </w:r>
      <w:proofErr w:type="gramEnd"/>
    </w:p>
    <w:p w:rsidR="00632764" w:rsidRPr="003507F2" w:rsidRDefault="00632764" w:rsidP="00632764">
      <w:pPr>
        <w:widowControl w:val="0"/>
        <w:spacing w:after="0" w:line="269" w:lineRule="exact"/>
        <w:ind w:firstLine="3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2.2. Коэффициент затрат на прочие услуги устанавливается равным (0,210)</w:t>
      </w:r>
    </w:p>
    <w:p w:rsidR="00632764" w:rsidRPr="003507F2" w:rsidRDefault="00632764" w:rsidP="00632764">
      <w:pPr>
        <w:widowControl w:val="0"/>
        <w:tabs>
          <w:tab w:val="left" w:pos="4123"/>
          <w:tab w:val="left" w:pos="7368"/>
          <w:tab w:val="left" w:pos="9360"/>
        </w:tabs>
        <w:spacing w:after="0" w:line="269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iCs/>
          <w:color w:val="000000"/>
          <w:spacing w:val="20"/>
          <w:sz w:val="24"/>
          <w:lang w:bidi="ru-RU"/>
        </w:rPr>
        <w:t>2.3</w:t>
      </w:r>
      <w:r w:rsidRPr="003507F2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lang w:bidi="ru-RU"/>
        </w:rPr>
        <w:t xml:space="preserve">. </w:t>
      </w: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Годовой объём межбюджетных трансфертов для осуществления КСО района функций, необходимых для реализации передаваемых полномочий с 01.01.2022 составляет 234 000,00 рублей ((123 967,4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+ (123 967,4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8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*0,210))* 12 месяцев *13%.</w:t>
      </w:r>
      <w:proofErr w:type="gramEnd"/>
    </w:p>
    <w:p w:rsidR="00632764" w:rsidRPr="003507F2" w:rsidRDefault="00632764" w:rsidP="00632764">
      <w:pPr>
        <w:widowControl w:val="0"/>
        <w:tabs>
          <w:tab w:val="left" w:pos="4123"/>
          <w:tab w:val="left" w:pos="7368"/>
          <w:tab w:val="left" w:pos="9360"/>
        </w:tabs>
        <w:spacing w:after="0" w:line="269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2.4. Ежемесячный объем межбюджетных трансфертов в сумме 19 500,00 рублей перечисляется в бюджет Района не позднее 10 числа текущего месяца по коду бюджетной классификации доходов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40520240014050000150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 соглашениями».</w:t>
      </w:r>
    </w:p>
    <w:p w:rsidR="00632764" w:rsidRPr="003507F2" w:rsidRDefault="00632764" w:rsidP="00632764">
      <w:pPr>
        <w:widowControl w:val="0"/>
        <w:tabs>
          <w:tab w:val="left" w:pos="833"/>
        </w:tabs>
        <w:spacing w:after="0" w:line="269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2.5. Расходы бюджета Поселения на предоставление межбюджетных трансфертов и расходы бюджета Района, осуществляемые за счёт межбюджетных трансфертов, планируются и исполняются по подразделу 0106 «Обеспечение деятельности финансовых, налоговых и таможенных органов и органов финансового (финансово-бюджетного) надзора».</w:t>
      </w:r>
    </w:p>
    <w:p w:rsidR="00632764" w:rsidRPr="003507F2" w:rsidRDefault="00632764" w:rsidP="00632764">
      <w:pPr>
        <w:widowControl w:val="0"/>
        <w:tabs>
          <w:tab w:val="left" w:pos="833"/>
        </w:tabs>
        <w:spacing w:after="143" w:line="269" w:lineRule="exac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2.6. </w:t>
      </w: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Стороны вправе по соглашению сторон изменить сумму межбюджетного трансферта по настоящем) Соглашению.</w:t>
      </w:r>
      <w:proofErr w:type="gramEnd"/>
    </w:p>
    <w:p w:rsidR="00632764" w:rsidRPr="003507F2" w:rsidRDefault="00632764" w:rsidP="00632764">
      <w:pPr>
        <w:widowControl w:val="0"/>
        <w:numPr>
          <w:ilvl w:val="0"/>
          <w:numId w:val="1"/>
        </w:numPr>
        <w:tabs>
          <w:tab w:val="left" w:pos="3729"/>
        </w:tabs>
        <w:spacing w:before="120" w:after="120" w:line="240" w:lineRule="exact"/>
        <w:ind w:left="34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Обязанности и права сторон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957"/>
        </w:tabs>
        <w:spacing w:after="30" w:line="240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Поселение: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64"/>
        </w:tabs>
        <w:spacing w:after="0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Передает полномочия, определенные пунктом 1.2 настоящего Соглашения.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0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Утверждает в решении о бюджете Поселения межбюджетные трансферты бюджету Района на осуществление переданных полномочий в объёме, определенном в пункте 2.1. настоящего Соглашения, и обеспечивает их перечисление в бюджет района в сумме и </w:t>
      </w: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сроки</w:t>
      </w:r>
      <w:proofErr w:type="gramEnd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определённые в пункте 2.4. настоящего Соглашения.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0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Рассматривает представления или предписания КСО по поводу устранения выявленных нарушений и принимает необходимые меры для их устранения.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0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Принимает решения об устранении нарушений, допущенных при осуществлении бюджетного процесса. 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0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Имеет право направлять в КСО района предложение о проведении контрольных и экспертно- аналитических мероприятий и поручать ему проведение соответствующих мероприятий.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143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Имеет право принимать иные меры, необходимые для реализации настоящего соглашения.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957"/>
        </w:tabs>
        <w:spacing w:after="21" w:line="240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Район: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0" w:line="274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Устанавливает в муниципальных правовых актах полномочия КСО района по осуществлению предусмотренных настоящим Соглашением полномочий.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0" w:line="274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Утверждает в решении о бюджете района межбюджетные трансферты на осуществление переданных полномочий в объёме, определённом в пункте 2.1. настоящего </w:t>
      </w: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Соглашения.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0" w:line="274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Устанавливает штатную численность КСО района с учётом необходимости осуществления предусмотренных настоящим Соглашением полномочий.</w:t>
      </w:r>
    </w:p>
    <w:p w:rsidR="00632764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147" w:line="274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Имеет право получать от КСО района информацию об осуществлении переданных полномочий и результатах проведённых контрольных и экспертно-аналитических мероприятий.</w:t>
      </w:r>
    </w:p>
    <w:p w:rsidR="00632764" w:rsidRPr="003507F2" w:rsidRDefault="00632764" w:rsidP="00632764">
      <w:pPr>
        <w:widowControl w:val="0"/>
        <w:tabs>
          <w:tab w:val="left" w:pos="833"/>
        </w:tabs>
        <w:spacing w:after="147" w:line="274" w:lineRule="exac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957"/>
        </w:tabs>
        <w:spacing w:after="21" w:line="240" w:lineRule="exact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ru-RU"/>
        </w:rPr>
        <w:t>КСО района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833"/>
        </w:tabs>
        <w:spacing w:after="0" w:line="274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Принимает и осуществляет полномочия, определённые пунктом 1.2. настоящего Соглашения.</w:t>
      </w:r>
    </w:p>
    <w:p w:rsidR="00632764" w:rsidRPr="008B08E1" w:rsidRDefault="00632764" w:rsidP="00632764">
      <w:pPr>
        <w:widowControl w:val="0"/>
        <w:numPr>
          <w:ilvl w:val="2"/>
          <w:numId w:val="1"/>
        </w:numPr>
        <w:tabs>
          <w:tab w:val="left" w:pos="859"/>
        </w:tabs>
        <w:spacing w:after="0" w:line="274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B08E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При условии наличия достаточных ресурсов для исполнения, включает в план работы контрольные и экспертно-аналитические мероприятия, по поручениям Совета депутатов поселения и Главы поселения.</w:t>
      </w:r>
    </w:p>
    <w:p w:rsidR="00632764" w:rsidRPr="008B08E1" w:rsidRDefault="00632764" w:rsidP="00632764">
      <w:pPr>
        <w:widowControl w:val="0"/>
        <w:numPr>
          <w:ilvl w:val="0"/>
          <w:numId w:val="3"/>
        </w:numPr>
        <w:tabs>
          <w:tab w:val="left" w:pos="833"/>
        </w:tabs>
        <w:spacing w:after="0" w:line="274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B08E1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Проводит предусмотренные планом работы мероприятия в сроки, определённые по согласованию с инициатором проведения мероприятия (если сроки не установлены законодательством).</w:t>
      </w:r>
    </w:p>
    <w:p w:rsidR="00632764" w:rsidRPr="003507F2" w:rsidRDefault="00632764" w:rsidP="00632764">
      <w:pPr>
        <w:widowControl w:val="0"/>
        <w:numPr>
          <w:ilvl w:val="0"/>
          <w:numId w:val="3"/>
        </w:numPr>
        <w:tabs>
          <w:tab w:val="left" w:pos="811"/>
        </w:tabs>
        <w:spacing w:after="0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учётом предложений инициатора проведения мероприятия.</w:t>
      </w:r>
    </w:p>
    <w:p w:rsidR="00632764" w:rsidRPr="003507F2" w:rsidRDefault="00632764" w:rsidP="00632764">
      <w:pPr>
        <w:widowControl w:val="0"/>
        <w:numPr>
          <w:ilvl w:val="0"/>
          <w:numId w:val="3"/>
        </w:numPr>
        <w:tabs>
          <w:tab w:val="left" w:pos="825"/>
        </w:tabs>
        <w:spacing w:after="0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Обеспечивает использование межбюджетных трансфертов исключительно на оплату труда (с начислениями) работников КСО и материально-техническое обеспечение своей деятельности.</w:t>
      </w:r>
    </w:p>
    <w:p w:rsidR="00632764" w:rsidRPr="003507F2" w:rsidRDefault="00632764" w:rsidP="00632764">
      <w:pPr>
        <w:widowControl w:val="0"/>
        <w:numPr>
          <w:ilvl w:val="0"/>
          <w:numId w:val="3"/>
        </w:numPr>
        <w:tabs>
          <w:tab w:val="left" w:pos="852"/>
        </w:tabs>
        <w:spacing w:after="0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Обеспечивает предоставление по запросу Поселения отчётов:</w:t>
      </w:r>
    </w:p>
    <w:p w:rsidR="00632764" w:rsidRPr="003507F2" w:rsidRDefault="00632764" w:rsidP="00632764">
      <w:pPr>
        <w:widowControl w:val="0"/>
        <w:numPr>
          <w:ilvl w:val="0"/>
          <w:numId w:val="2"/>
        </w:numPr>
        <w:tabs>
          <w:tab w:val="left" w:pos="760"/>
        </w:tabs>
        <w:spacing w:after="0" w:line="269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 использовании предусмотренных настоящим Соглашением межбюджетных: трансфертов;</w:t>
      </w:r>
    </w:p>
    <w:p w:rsidR="00632764" w:rsidRPr="003507F2" w:rsidRDefault="00632764" w:rsidP="00632764">
      <w:pPr>
        <w:widowControl w:val="0"/>
        <w:numPr>
          <w:ilvl w:val="0"/>
          <w:numId w:val="2"/>
        </w:numPr>
        <w:tabs>
          <w:tab w:val="left" w:pos="760"/>
        </w:tabs>
        <w:spacing w:after="0" w:line="269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об осуществлении предусмотренных настоящим Соглашением полномочий.</w:t>
      </w:r>
    </w:p>
    <w:p w:rsidR="00632764" w:rsidRPr="003507F2" w:rsidRDefault="00632764" w:rsidP="00632764">
      <w:pPr>
        <w:widowControl w:val="0"/>
        <w:numPr>
          <w:ilvl w:val="0"/>
          <w:numId w:val="3"/>
        </w:numPr>
        <w:spacing w:after="83" w:line="269" w:lineRule="exact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Имеет право приостановить осуществление предусмотренных настоящим Соглашением полномочий в случае невыполнения Поселением своих обязательств по обеспечению перечисления межбюджетных трансфертов в бюджет Района.</w:t>
      </w:r>
    </w:p>
    <w:p w:rsidR="00632764" w:rsidRPr="003507F2" w:rsidRDefault="00632764" w:rsidP="00632764">
      <w:pPr>
        <w:keepNext/>
        <w:keepLines/>
        <w:widowControl w:val="0"/>
        <w:numPr>
          <w:ilvl w:val="0"/>
          <w:numId w:val="1"/>
        </w:numPr>
        <w:tabs>
          <w:tab w:val="left" w:pos="4166"/>
        </w:tabs>
        <w:spacing w:after="90" w:line="240" w:lineRule="exact"/>
        <w:ind w:left="38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" w:name="bookmark2"/>
      <w:r w:rsidRPr="0035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Ответственность </w:t>
      </w:r>
      <w:bookmarkEnd w:id="1"/>
      <w:r w:rsidRPr="0035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Сторон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spacing w:after="0" w:line="269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835"/>
        </w:tabs>
        <w:spacing w:after="203" w:line="269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 случае нарушения сроков перечисления межбюджетного трансферта, установленных в пункте 2.4. настоящего Соглашения поселение обязуется перечислить пени в размере 1/300 ставки рефинансирования (ключевой ставки) за каждый день прострочки, но не более 10% от суммы межбюджетного трансферта.</w:t>
      </w:r>
    </w:p>
    <w:p w:rsidR="00632764" w:rsidRPr="003507F2" w:rsidRDefault="00632764" w:rsidP="00632764">
      <w:pPr>
        <w:keepNext/>
        <w:keepLines/>
        <w:widowControl w:val="0"/>
        <w:numPr>
          <w:ilvl w:val="0"/>
          <w:numId w:val="1"/>
        </w:numPr>
        <w:tabs>
          <w:tab w:val="left" w:pos="3761"/>
        </w:tabs>
        <w:spacing w:after="86" w:line="240" w:lineRule="exact"/>
        <w:ind w:left="34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2" w:name="bookmark3"/>
      <w:r w:rsidRPr="0035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Срок действия Соглашения</w:t>
      </w:r>
      <w:bookmarkEnd w:id="2"/>
    </w:p>
    <w:p w:rsidR="00632764" w:rsidRPr="003507F2" w:rsidRDefault="00632764" w:rsidP="00632764">
      <w:pPr>
        <w:widowControl w:val="0"/>
        <w:spacing w:after="87" w:line="274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5.1 ..Настоящее Соглашение вступает в силу со дня официального опубликования в районной газете «Вперёд» и действует с 01.01.2022 по 31.12.2024.</w:t>
      </w:r>
    </w:p>
    <w:p w:rsidR="00632764" w:rsidRPr="003507F2" w:rsidRDefault="00632764" w:rsidP="00632764">
      <w:pPr>
        <w:keepNext/>
        <w:keepLines/>
        <w:widowControl w:val="0"/>
        <w:numPr>
          <w:ilvl w:val="0"/>
          <w:numId w:val="1"/>
        </w:numPr>
        <w:tabs>
          <w:tab w:val="left" w:pos="2101"/>
        </w:tabs>
        <w:spacing w:before="120" w:after="120" w:line="240" w:lineRule="exact"/>
        <w:ind w:left="178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3" w:name="bookmark4"/>
      <w:r w:rsidRPr="0035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Основания и порядок прекращения действия Соглашения</w:t>
      </w:r>
      <w:bookmarkEnd w:id="3"/>
    </w:p>
    <w:p w:rsidR="00632764" w:rsidRPr="003507F2" w:rsidRDefault="00632764" w:rsidP="00632764">
      <w:pPr>
        <w:widowControl w:val="0"/>
        <w:numPr>
          <w:ilvl w:val="1"/>
          <w:numId w:val="1"/>
        </w:numPr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Настоящее Соглашение может быть изменено путем внесения изменений дополнений по соглашению сторон или в одностороннем порядке в случаях, предусмотренных действующим законодательством и настоящим Соглашением. </w:t>
      </w:r>
    </w:p>
    <w:p w:rsidR="00632764" w:rsidRPr="003507F2" w:rsidRDefault="00632764" w:rsidP="00632764">
      <w:pPr>
        <w:widowControl w:val="0"/>
        <w:numPr>
          <w:ilvl w:val="1"/>
          <w:numId w:val="1"/>
        </w:numPr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Действие настоящего соглашения может быть досрочно прекращено по следующим основаниям: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1146"/>
        </w:tabs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Реорганизации или ликвидации данных муниципальных образований.</w:t>
      </w:r>
    </w:p>
    <w:p w:rsidR="00632764" w:rsidRPr="003507F2" w:rsidRDefault="00632764" w:rsidP="00632764">
      <w:pPr>
        <w:widowControl w:val="0"/>
        <w:numPr>
          <w:ilvl w:val="2"/>
          <w:numId w:val="1"/>
        </w:numPr>
        <w:tabs>
          <w:tab w:val="left" w:pos="1146"/>
        </w:tabs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Досрочного расторжения Соглашения на основании Соглашения сторон,</w:t>
      </w:r>
    </w:p>
    <w:p w:rsidR="00632764" w:rsidRPr="003507F2" w:rsidRDefault="00632764" w:rsidP="00632764">
      <w:pPr>
        <w:widowControl w:val="0"/>
        <w:spacing w:after="0" w:line="269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подписанного уполномоченными представителями Района и Поселения.</w:t>
      </w:r>
    </w:p>
    <w:p w:rsidR="00632764" w:rsidRPr="003507F2" w:rsidRDefault="00632764" w:rsidP="00632764">
      <w:pPr>
        <w:widowControl w:val="0"/>
        <w:numPr>
          <w:ilvl w:val="0"/>
          <w:numId w:val="4"/>
        </w:numPr>
        <w:tabs>
          <w:tab w:val="left" w:pos="1136"/>
        </w:tabs>
        <w:spacing w:after="383" w:line="269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На основании вступившего в силу решения суда.</w:t>
      </w:r>
    </w:p>
    <w:p w:rsidR="00632764" w:rsidRPr="003507F2" w:rsidRDefault="00632764" w:rsidP="00632764">
      <w:pPr>
        <w:keepNext/>
        <w:keepLines/>
        <w:widowControl w:val="0"/>
        <w:numPr>
          <w:ilvl w:val="0"/>
          <w:numId w:val="1"/>
        </w:numPr>
        <w:tabs>
          <w:tab w:val="left" w:pos="3766"/>
        </w:tabs>
        <w:spacing w:after="81" w:line="240" w:lineRule="exact"/>
        <w:ind w:left="34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4" w:name="bookmark5"/>
      <w:r w:rsidRPr="003507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Заключительные положения</w:t>
      </w:r>
      <w:bookmarkEnd w:id="4"/>
    </w:p>
    <w:p w:rsidR="00632764" w:rsidRPr="003507F2" w:rsidRDefault="00632764" w:rsidP="00632764">
      <w:pPr>
        <w:widowControl w:val="0"/>
        <w:numPr>
          <w:ilvl w:val="1"/>
          <w:numId w:val="1"/>
        </w:numPr>
        <w:tabs>
          <w:tab w:val="left" w:pos="835"/>
        </w:tabs>
        <w:spacing w:after="0" w:line="274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Настоящее Соглашение заключено в трех экземплярах (но экземпляру Поселению.</w:t>
      </w:r>
      <w:proofErr w:type="gramEnd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Району. </w:t>
      </w: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КСО района), имеющих одинаковую юридическую силу.</w:t>
      </w:r>
      <w:proofErr w:type="gramEnd"/>
    </w:p>
    <w:p w:rsidR="00632764" w:rsidRPr="003507F2" w:rsidRDefault="00632764" w:rsidP="00632764">
      <w:pPr>
        <w:widowControl w:val="0"/>
        <w:tabs>
          <w:tab w:val="left" w:pos="840"/>
        </w:tabs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32764" w:rsidRDefault="00632764" w:rsidP="00632764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7.3. Не регулируемые Сторонами споры, </w:t>
      </w:r>
      <w:proofErr w:type="gramStart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разногласия, возникшие при исполнении настоящего Соглашения подлежат</w:t>
      </w:r>
      <w:proofErr w:type="gramEnd"/>
      <w:r w:rsidRPr="003507F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рассмотрению в порядке, предусмотренном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законодательством</w:t>
      </w:r>
    </w:p>
    <w:p w:rsidR="00632764" w:rsidRDefault="00632764" w:rsidP="00632764">
      <w:pPr>
        <w:widowControl w:val="0"/>
        <w:spacing w:after="0" w:line="274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632764" w:rsidRPr="003507F2" w:rsidRDefault="00632764" w:rsidP="00632764">
      <w:pPr>
        <w:widowControl w:val="0"/>
        <w:spacing w:after="0" w:line="274" w:lineRule="exact"/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507F2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8. Подписи сторон</w:t>
      </w:r>
    </w:p>
    <w:p w:rsidR="00632764" w:rsidRDefault="00632764" w:rsidP="00632764">
      <w:pPr>
        <w:pStyle w:val="Bodytext20"/>
        <w:shd w:val="clear" w:color="auto" w:fill="auto"/>
        <w:tabs>
          <w:tab w:val="left" w:pos="670"/>
        </w:tabs>
        <w:spacing w:after="240" w:line="274" w:lineRule="exact"/>
        <w:ind w:left="-426" w:firstLine="340"/>
        <w:jc w:val="center"/>
        <w:rPr>
          <w:b/>
          <w:color w:val="000000"/>
          <w:sz w:val="24"/>
          <w:szCs w:val="24"/>
          <w:lang w:bidi="ru-RU"/>
        </w:rPr>
      </w:pPr>
    </w:p>
    <w:tbl>
      <w:tblPr>
        <w:tblW w:w="0" w:type="auto"/>
        <w:tblInd w:w="-34" w:type="dxa"/>
        <w:tblLook w:val="04A0"/>
      </w:tblPr>
      <w:tblGrid>
        <w:gridCol w:w="4536"/>
        <w:gridCol w:w="3473"/>
      </w:tblGrid>
      <w:tr w:rsidR="00632764" w:rsidRPr="000233C6" w:rsidTr="007C13CD">
        <w:trPr>
          <w:trHeight w:val="1631"/>
        </w:trPr>
        <w:tc>
          <w:tcPr>
            <w:tcW w:w="4536" w:type="dxa"/>
            <w:hideMark/>
          </w:tcPr>
          <w:p w:rsidR="00632764" w:rsidRPr="000233C6" w:rsidRDefault="00632764" w:rsidP="007C13CD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233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Поселение</w:t>
            </w:r>
          </w:p>
          <w:p w:rsidR="00632764" w:rsidRPr="000233C6" w:rsidRDefault="00632764" w:rsidP="007C13CD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233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Глава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МО </w:t>
            </w:r>
            <w:r w:rsidRPr="000233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посёл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r w:rsidRPr="000233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 Вольгинский </w:t>
            </w:r>
          </w:p>
          <w:p w:rsidR="00632764" w:rsidRPr="000233C6" w:rsidRDefault="00632764" w:rsidP="007C13CD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32764" w:rsidRPr="000233C6" w:rsidRDefault="00632764" w:rsidP="007C13CD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233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__________________</w:t>
            </w:r>
          </w:p>
          <w:p w:rsidR="00632764" w:rsidRDefault="00632764" w:rsidP="007C13CD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32764" w:rsidRPr="00AD0151" w:rsidRDefault="00632764" w:rsidP="007C13CD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МП</w:t>
            </w:r>
          </w:p>
        </w:tc>
        <w:tc>
          <w:tcPr>
            <w:tcW w:w="3473" w:type="dxa"/>
          </w:tcPr>
          <w:p w:rsidR="00632764" w:rsidRPr="000233C6" w:rsidRDefault="00632764" w:rsidP="007C13CD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233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Район</w:t>
            </w:r>
          </w:p>
          <w:p w:rsidR="00632764" w:rsidRPr="000233C6" w:rsidRDefault="00632764" w:rsidP="007C13CD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233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Глава Петушинского района </w:t>
            </w:r>
          </w:p>
          <w:p w:rsidR="00632764" w:rsidRPr="000233C6" w:rsidRDefault="00632764" w:rsidP="007C13CD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32764" w:rsidRPr="000233C6" w:rsidRDefault="00632764" w:rsidP="007C13CD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0233C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________________</w:t>
            </w:r>
          </w:p>
          <w:p w:rsidR="00632764" w:rsidRDefault="00632764" w:rsidP="007C13CD">
            <w:pPr>
              <w:pStyle w:val="Bodytext20"/>
              <w:shd w:val="clear" w:color="auto" w:fill="auto"/>
              <w:tabs>
                <w:tab w:val="left" w:pos="1593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632764" w:rsidRPr="00AD0151" w:rsidRDefault="00632764" w:rsidP="007C13CD">
            <w:pPr>
              <w:pStyle w:val="Bodytext20"/>
              <w:shd w:val="clear" w:color="auto" w:fill="auto"/>
              <w:tabs>
                <w:tab w:val="left" w:pos="1593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</w:pPr>
            <w:r w:rsidRPr="00AD0151">
              <w:rPr>
                <w:rFonts w:ascii="Times New Roman" w:hAnsi="Times New Roman"/>
                <w:color w:val="000000"/>
                <w:sz w:val="20"/>
                <w:szCs w:val="20"/>
                <w:lang w:bidi="ru-RU"/>
              </w:rPr>
              <w:t>МП</w:t>
            </w:r>
          </w:p>
          <w:p w:rsidR="00632764" w:rsidRPr="000233C6" w:rsidRDefault="00632764" w:rsidP="007C13CD">
            <w:pPr>
              <w:pStyle w:val="Bodytext20"/>
              <w:shd w:val="clear" w:color="auto" w:fill="auto"/>
              <w:tabs>
                <w:tab w:val="left" w:pos="1310"/>
              </w:tabs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</w:p>
        </w:tc>
      </w:tr>
    </w:tbl>
    <w:p w:rsidR="00632764" w:rsidRDefault="00632764" w:rsidP="00632764">
      <w:pPr>
        <w:pStyle w:val="Bodytext20"/>
        <w:shd w:val="clear" w:color="auto" w:fill="auto"/>
        <w:spacing w:after="120" w:line="274" w:lineRule="exact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632764" w:rsidRPr="000233C6" w:rsidRDefault="00632764" w:rsidP="00632764">
      <w:pPr>
        <w:pStyle w:val="Bodytext20"/>
        <w:shd w:val="clear" w:color="auto" w:fill="auto"/>
        <w:spacing w:after="120" w:line="274" w:lineRule="exact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233C6">
        <w:rPr>
          <w:rFonts w:ascii="Times New Roman" w:hAnsi="Times New Roman"/>
          <w:color w:val="000000"/>
          <w:sz w:val="24"/>
          <w:szCs w:val="24"/>
          <w:lang w:bidi="ru-RU"/>
        </w:rPr>
        <w:t>КСО Петушинского района</w:t>
      </w:r>
    </w:p>
    <w:p w:rsidR="00632764" w:rsidRPr="000233C6" w:rsidRDefault="00632764" w:rsidP="00632764">
      <w:pPr>
        <w:pStyle w:val="Bodytext20"/>
        <w:shd w:val="clear" w:color="auto" w:fill="auto"/>
        <w:spacing w:after="120" w:line="274" w:lineRule="exact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Заместитель п</w:t>
      </w:r>
      <w:r w:rsidRPr="000233C6">
        <w:rPr>
          <w:rFonts w:ascii="Times New Roman" w:hAnsi="Times New Roman"/>
          <w:color w:val="000000"/>
          <w:sz w:val="24"/>
          <w:szCs w:val="24"/>
          <w:lang w:bidi="ru-RU"/>
        </w:rPr>
        <w:t>редседател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я</w:t>
      </w:r>
      <w:r w:rsidRPr="000233C6"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________________</w:t>
      </w:r>
    </w:p>
    <w:p w:rsidR="00632764" w:rsidRPr="00AD0151" w:rsidRDefault="00632764" w:rsidP="00632764">
      <w:pPr>
        <w:pStyle w:val="Bodytext20"/>
        <w:shd w:val="clear" w:color="auto" w:fill="auto"/>
        <w:spacing w:after="120" w:line="274" w:lineRule="exact"/>
        <w:rPr>
          <w:rFonts w:ascii="Times New Roman" w:hAnsi="Times New Roman"/>
          <w:color w:val="000000"/>
          <w:sz w:val="20"/>
          <w:szCs w:val="20"/>
          <w:lang w:bidi="ru-RU"/>
        </w:rPr>
      </w:pPr>
      <w:r w:rsidRPr="00AD0151">
        <w:rPr>
          <w:rFonts w:ascii="Times New Roman" w:hAnsi="Times New Roman"/>
          <w:color w:val="000000"/>
          <w:sz w:val="20"/>
          <w:szCs w:val="20"/>
          <w:lang w:bidi="ru-RU"/>
        </w:rPr>
        <w:t>МП</w:t>
      </w:r>
    </w:p>
    <w:p w:rsidR="00790F8E" w:rsidRPr="000233C6" w:rsidRDefault="00045050" w:rsidP="00632764">
      <w:pPr>
        <w:widowControl w:val="0"/>
        <w:spacing w:after="120" w:line="240" w:lineRule="exact"/>
        <w:ind w:left="120"/>
        <w:jc w:val="center"/>
        <w:rPr>
          <w:rFonts w:ascii="Times New Roman" w:hAnsi="Times New Roman" w:cs="Times New Roman"/>
        </w:rPr>
      </w:pPr>
    </w:p>
    <w:sectPr w:rsidR="00790F8E" w:rsidRPr="000233C6" w:rsidSect="00E446D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50" w:rsidRDefault="00045050" w:rsidP="006E0EB6">
      <w:pPr>
        <w:spacing w:after="0" w:line="240" w:lineRule="auto"/>
      </w:pPr>
      <w:r>
        <w:separator/>
      </w:r>
    </w:p>
  </w:endnote>
  <w:endnote w:type="continuationSeparator" w:id="0">
    <w:p w:rsidR="00045050" w:rsidRDefault="00045050" w:rsidP="006E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50" w:rsidRDefault="00045050" w:rsidP="006E0EB6">
      <w:pPr>
        <w:spacing w:after="0" w:line="240" w:lineRule="auto"/>
      </w:pPr>
      <w:r>
        <w:separator/>
      </w:r>
    </w:p>
  </w:footnote>
  <w:footnote w:type="continuationSeparator" w:id="0">
    <w:p w:rsidR="00045050" w:rsidRDefault="00045050" w:rsidP="006E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5113"/>
    </w:sdtPr>
    <w:sdtContent>
      <w:p w:rsidR="006E0EB6" w:rsidRDefault="004B5E2E">
        <w:pPr>
          <w:pStyle w:val="a3"/>
          <w:jc w:val="center"/>
        </w:pPr>
        <w:fldSimple w:instr=" PAGE   \* MERGEFORMAT ">
          <w:r w:rsidR="00632764">
            <w:rPr>
              <w:noProof/>
            </w:rPr>
            <w:t>2</w:t>
          </w:r>
        </w:fldSimple>
      </w:p>
    </w:sdtContent>
  </w:sdt>
  <w:p w:rsidR="006E0EB6" w:rsidRDefault="006E0EB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F72"/>
    <w:multiLevelType w:val="multilevel"/>
    <w:tmpl w:val="09E029A0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119E6"/>
    <w:multiLevelType w:val="multilevel"/>
    <w:tmpl w:val="DBB070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53C77"/>
    <w:multiLevelType w:val="multilevel"/>
    <w:tmpl w:val="B4EE9394"/>
    <w:lvl w:ilvl="0">
      <w:start w:val="4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35F8B"/>
    <w:multiLevelType w:val="multilevel"/>
    <w:tmpl w:val="29A64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3C6"/>
    <w:rsid w:val="000233C6"/>
    <w:rsid w:val="00045050"/>
    <w:rsid w:val="000C7B35"/>
    <w:rsid w:val="004B5E2E"/>
    <w:rsid w:val="00632764"/>
    <w:rsid w:val="006B15EB"/>
    <w:rsid w:val="006E0EB6"/>
    <w:rsid w:val="009A325E"/>
    <w:rsid w:val="009E1143"/>
    <w:rsid w:val="00A073EC"/>
    <w:rsid w:val="00AD0151"/>
    <w:rsid w:val="00B905EA"/>
    <w:rsid w:val="00E446D6"/>
    <w:rsid w:val="00EF5A95"/>
    <w:rsid w:val="00FA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0233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locked/>
    <w:rsid w:val="000233C6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233C6"/>
    <w:pPr>
      <w:widowControl w:val="0"/>
      <w:shd w:val="clear" w:color="auto" w:fill="FFFFFF"/>
      <w:spacing w:after="0" w:line="278" w:lineRule="exact"/>
    </w:pPr>
    <w:rPr>
      <w:rFonts w:eastAsia="Times New Roman" w:cs="Times New Roman"/>
      <w:lang w:eastAsia="en-US"/>
    </w:rPr>
  </w:style>
  <w:style w:type="paragraph" w:styleId="a3">
    <w:name w:val="header"/>
    <w:basedOn w:val="a"/>
    <w:link w:val="a4"/>
    <w:uiPriority w:val="99"/>
    <w:unhideWhenUsed/>
    <w:rsid w:val="006E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0EB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0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0EB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B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7</cp:revision>
  <cp:lastPrinted>2021-11-10T05:14:00Z</cp:lastPrinted>
  <dcterms:created xsi:type="dcterms:W3CDTF">2021-11-09T11:53:00Z</dcterms:created>
  <dcterms:modified xsi:type="dcterms:W3CDTF">2021-11-16T10:16:00Z</dcterms:modified>
</cp:coreProperties>
</file>