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29" w:rsidRDefault="00EF0D94">
      <w:pPr>
        <w:rPr>
          <w:rStyle w:val="a3"/>
          <w:rFonts w:ascii="Tahoma" w:hAnsi="Tahoma" w:cs="Tahoma"/>
          <w:sz w:val="21"/>
          <w:szCs w:val="21"/>
        </w:rPr>
      </w:pPr>
      <w:r>
        <w:rPr>
          <w:rStyle w:val="a3"/>
          <w:rFonts w:ascii="Tahoma" w:hAnsi="Tahoma" w:cs="Tahoma"/>
          <w:sz w:val="21"/>
          <w:szCs w:val="21"/>
        </w:rPr>
        <w:fldChar w:fldCharType="begin"/>
      </w:r>
      <w:r>
        <w:rPr>
          <w:rStyle w:val="a3"/>
          <w:rFonts w:ascii="Tahoma" w:hAnsi="Tahoma" w:cs="Tahoma"/>
          <w:sz w:val="21"/>
          <w:szCs w:val="21"/>
        </w:rPr>
        <w:instrText xml:space="preserve"> HYPERLINK "mailto:</w:instrText>
      </w:r>
      <w:r>
        <w:rPr>
          <w:rStyle w:val="a3"/>
          <w:rFonts w:ascii="Tahoma" w:hAnsi="Tahoma" w:cs="Tahoma"/>
          <w:sz w:val="21"/>
          <w:szCs w:val="21"/>
        </w:rPr>
        <w:instrText>admvol@yandex.ru</w:instrText>
      </w:r>
      <w:r>
        <w:rPr>
          <w:rStyle w:val="a3"/>
          <w:rFonts w:ascii="Tahoma" w:hAnsi="Tahoma" w:cs="Tahoma"/>
          <w:sz w:val="21"/>
          <w:szCs w:val="21"/>
        </w:rPr>
        <w:instrText xml:space="preserve">" </w:instrText>
      </w:r>
      <w:r>
        <w:rPr>
          <w:rStyle w:val="a3"/>
          <w:rFonts w:ascii="Tahoma" w:hAnsi="Tahoma" w:cs="Tahoma"/>
          <w:sz w:val="21"/>
          <w:szCs w:val="21"/>
        </w:rPr>
        <w:fldChar w:fldCharType="separate"/>
      </w:r>
      <w:r w:rsidRPr="00C82717">
        <w:rPr>
          <w:rStyle w:val="a3"/>
          <w:rFonts w:ascii="Tahoma" w:hAnsi="Tahoma" w:cs="Tahoma"/>
          <w:sz w:val="21"/>
          <w:szCs w:val="21"/>
        </w:rPr>
        <w:t>admvol@yandex.ru</w:t>
      </w:r>
      <w:r>
        <w:rPr>
          <w:rStyle w:val="a3"/>
          <w:rFonts w:ascii="Tahoma" w:hAnsi="Tahoma" w:cs="Tahoma"/>
          <w:sz w:val="21"/>
          <w:szCs w:val="21"/>
        </w:rPr>
        <w:fldChar w:fldCharType="end"/>
      </w:r>
    </w:p>
    <w:p w:rsidR="00EF0D94" w:rsidRDefault="00EF0D94">
      <w:pPr>
        <w:rPr>
          <w:rStyle w:val="a3"/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Заявка на участие в электронном аукционе направляется участником аукциона оператору электронной площадки.</w:t>
      </w:r>
    </w:p>
    <w:p w:rsidR="00EF0D94" w:rsidRDefault="00EF0D94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В соответствии с инструкцией оператора электронной площадки и настоящей документацией.</w:t>
      </w:r>
    </w:p>
    <w:p w:rsidR="00EF0D94" w:rsidRDefault="00EF0D94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Бюджет муниципального образования «Поселок Вольгинский» Петушинского района Владимирской области</w:t>
      </w:r>
    </w:p>
    <w:p w:rsidR="00EF0D94" w:rsidRDefault="00EF0D94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Обеспечение заявки предоставляется участником закупки в виде денежных средств или банковской гарантии. Выбор способа обеспечения заявки на участие в аукционе осуществляется участником закупки.</w:t>
      </w:r>
    </w:p>
    <w:p w:rsidR="00EF0D94" w:rsidRDefault="00EF0D94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Способ обеспечения исполнения контракта определяется участником закупки, с которым заключается контракт самостоятельно. Исполнение контракта может обеспечиваться: - предоставлением банковской гарантии, выданной банком и соответствующей требованиям статьи 45 Федерального закона № 44-ФЗ (Срок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44-ФЗ)</w:t>
      </w:r>
      <w:proofErr w:type="gramStart"/>
      <w:r>
        <w:rPr>
          <w:rFonts w:ascii="Tahoma" w:hAnsi="Tahoma" w:cs="Tahoma"/>
          <w:sz w:val="21"/>
          <w:szCs w:val="21"/>
        </w:rPr>
        <w:t>.</w:t>
      </w:r>
      <w:proofErr w:type="gramEnd"/>
      <w:r>
        <w:rPr>
          <w:rFonts w:ascii="Tahoma" w:hAnsi="Tahoma" w:cs="Tahoma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sz w:val="21"/>
          <w:szCs w:val="21"/>
        </w:rPr>
        <w:t>и</w:t>
      </w:r>
      <w:proofErr w:type="gramEnd"/>
      <w:r>
        <w:rPr>
          <w:rFonts w:ascii="Tahoma" w:hAnsi="Tahoma" w:cs="Tahoma"/>
          <w:sz w:val="21"/>
          <w:szCs w:val="21"/>
        </w:rPr>
        <w:t>ли -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EF0D94" w:rsidRDefault="00EF0D94">
      <w:r w:rsidRPr="00EF0D94">
        <w:t>Подрядчик в срок не позднее даты предоставления документов, акта о приемке выполненных работ (КС-2) и справку о стоимости выполненных работ и затрат (КС-3) в 2 (двух) экземплярах. Обеспечение гарантийных обязатель</w:t>
      </w:r>
      <w:proofErr w:type="gramStart"/>
      <w:r w:rsidRPr="00EF0D94">
        <w:t>ств пр</w:t>
      </w:r>
      <w:proofErr w:type="gramEnd"/>
      <w:r w:rsidRPr="00EF0D94">
        <w:t>едоставляется подрядчиком в виде денежных средств или банковской гарантии. Выбор способа обеспечения заявки на участие в аукционе осуществляется участником закупки.</w:t>
      </w:r>
      <w:bookmarkStart w:id="0" w:name="_GoBack"/>
      <w:bookmarkEnd w:id="0"/>
    </w:p>
    <w:sectPr w:rsidR="00EF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40"/>
    <w:rsid w:val="00015D40"/>
    <w:rsid w:val="00233229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94"/>
    <w:rPr>
      <w:strike w:val="0"/>
      <w:dstrike w:val="0"/>
      <w:color w:val="0075C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94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Польшина</dc:creator>
  <cp:keywords/>
  <dc:description/>
  <cp:lastModifiedBy>Татьяна Геннадьевна Польшина</cp:lastModifiedBy>
  <cp:revision>2</cp:revision>
  <dcterms:created xsi:type="dcterms:W3CDTF">2020-02-27T07:32:00Z</dcterms:created>
  <dcterms:modified xsi:type="dcterms:W3CDTF">2020-02-27T07:36:00Z</dcterms:modified>
</cp:coreProperties>
</file>